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4B7C4" w14:textId="5D2AEAB2" w:rsidR="00F0768B" w:rsidRPr="008C39F7" w:rsidRDefault="00F0768B" w:rsidP="00F0768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E422F">
        <w:rPr>
          <w:rFonts w:ascii="Arial" w:eastAsia="SimSun" w:hAnsi="Arial" w:cs="Arial"/>
          <w:b/>
          <w:sz w:val="24"/>
          <w:szCs w:val="24"/>
        </w:rPr>
        <w:t xml:space="preserve">3GPP TSG-RAN WG4 Meeting #107 </w:t>
      </w:r>
      <w:r w:rsidRPr="00EE422F">
        <w:rPr>
          <w:rFonts w:ascii="Arial" w:eastAsia="SimSun" w:hAnsi="Arial" w:cs="Arial"/>
          <w:b/>
          <w:sz w:val="24"/>
          <w:szCs w:val="24"/>
        </w:rPr>
        <w:tab/>
      </w:r>
      <w:r w:rsidR="00F04CF8" w:rsidRPr="00F04CF8">
        <w:rPr>
          <w:rFonts w:ascii="Arial" w:eastAsia="SimSun" w:hAnsi="Arial" w:cs="Arial"/>
          <w:b/>
          <w:sz w:val="24"/>
          <w:szCs w:val="24"/>
        </w:rPr>
        <w:t>R4-2312522</w:t>
      </w:r>
    </w:p>
    <w:p w14:paraId="780AADE5" w14:textId="77777777" w:rsidR="00F0768B" w:rsidRPr="008C39F7" w:rsidRDefault="00F0768B" w:rsidP="00F0768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8C39F7">
        <w:rPr>
          <w:rFonts w:ascii="Arial" w:eastAsia="SimSun" w:hAnsi="Arial" w:cs="Times New Roman"/>
          <w:b/>
          <w:sz w:val="24"/>
          <w:szCs w:val="20"/>
        </w:rPr>
        <w:t xml:space="preserve">, </w:t>
      </w:r>
      <w:r>
        <w:rPr>
          <w:rFonts w:ascii="Arial" w:eastAsia="SimSun" w:hAnsi="Arial" w:cs="Times New Roman"/>
          <w:b/>
          <w:sz w:val="24"/>
          <w:szCs w:val="20"/>
        </w:rPr>
        <w:t>France</w:t>
      </w:r>
      <w:r w:rsidRPr="008C39F7">
        <w:rPr>
          <w:rFonts w:ascii="Arial" w:eastAsia="SimSun" w:hAnsi="Arial" w:cs="Times New Roman"/>
          <w:b/>
          <w:sz w:val="24"/>
          <w:szCs w:val="20"/>
        </w:rPr>
        <w:t xml:space="preserve">, </w:t>
      </w:r>
      <w:r>
        <w:rPr>
          <w:rFonts w:ascii="Arial" w:eastAsia="SimSun" w:hAnsi="Arial" w:cs="Times New Roman"/>
          <w:b/>
          <w:sz w:val="24"/>
          <w:szCs w:val="20"/>
        </w:rPr>
        <w:t>August</w:t>
      </w:r>
      <w:r w:rsidRPr="008C39F7">
        <w:rPr>
          <w:rFonts w:ascii="Arial" w:eastAsia="SimSun" w:hAnsi="Arial" w:cs="Times New Roman"/>
          <w:b/>
          <w:sz w:val="24"/>
          <w:szCs w:val="20"/>
        </w:rPr>
        <w:t xml:space="preserve"> 2</w:t>
      </w:r>
      <w:r>
        <w:rPr>
          <w:rFonts w:ascii="Arial" w:eastAsia="SimSun" w:hAnsi="Arial" w:cs="Times New Roman"/>
          <w:b/>
          <w:sz w:val="24"/>
          <w:szCs w:val="20"/>
        </w:rPr>
        <w:t>1</w:t>
      </w:r>
      <w:r w:rsidRPr="008C39F7">
        <w:rPr>
          <w:rFonts w:ascii="Arial" w:eastAsia="SimSun" w:hAnsi="Arial" w:cs="Times New Roman"/>
          <w:b/>
          <w:sz w:val="24"/>
          <w:szCs w:val="20"/>
        </w:rPr>
        <w:t xml:space="preserve"> – 2</w:t>
      </w:r>
      <w:r>
        <w:rPr>
          <w:rFonts w:ascii="Arial" w:eastAsia="SimSun" w:hAnsi="Arial" w:cs="Times New Roman"/>
          <w:b/>
          <w:sz w:val="24"/>
          <w:szCs w:val="20"/>
        </w:rPr>
        <w:t>5</w:t>
      </w:r>
      <w:r w:rsidRPr="008C39F7">
        <w:rPr>
          <w:rFonts w:ascii="Arial" w:eastAsia="SimSun" w:hAnsi="Arial" w:cs="Times New Roman"/>
          <w:b/>
          <w:sz w:val="24"/>
          <w:szCs w:val="20"/>
        </w:rPr>
        <w:t>, 2023</w:t>
      </w:r>
    </w:p>
    <w:bookmarkEnd w:id="0"/>
    <w:bookmarkEnd w:id="1"/>
    <w:p w14:paraId="176B178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2736E3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1570BD8" w14:textId="153F146D" w:rsidR="00841BCD" w:rsidRPr="008C39F7" w:rsidRDefault="00841BCD" w:rsidP="00841BCD">
      <w:pPr>
        <w:ind w:left="1985" w:hanging="1985"/>
        <w:rPr>
          <w:rFonts w:ascii="Arial" w:eastAsia="Calibri" w:hAnsi="Arial" w:cs="Arial"/>
          <w:b/>
          <w:bCs/>
          <w:sz w:val="24"/>
        </w:rPr>
      </w:pPr>
      <w:r w:rsidRPr="007220CC">
        <w:rPr>
          <w:rFonts w:ascii="Arial" w:eastAsia="Calibri" w:hAnsi="Arial" w:cs="Arial"/>
          <w:b/>
          <w:bCs/>
          <w:sz w:val="24"/>
        </w:rPr>
        <w:t>Title:</w:t>
      </w:r>
      <w:r w:rsidRPr="007220CC">
        <w:rPr>
          <w:rFonts w:ascii="Arial" w:eastAsia="Calibri" w:hAnsi="Arial" w:cs="Arial"/>
          <w:b/>
          <w:bCs/>
          <w:sz w:val="24"/>
        </w:rPr>
        <w:tab/>
      </w:r>
      <w:r w:rsidR="007220CC" w:rsidRPr="007220CC">
        <w:rPr>
          <w:rFonts w:ascii="Arial" w:eastAsia="Calibri" w:hAnsi="Arial" w:cs="Arial"/>
          <w:b/>
          <w:bCs/>
          <w:sz w:val="24"/>
        </w:rPr>
        <w:t>Discussion on LTM cell switch delay requirements</w:t>
      </w:r>
    </w:p>
    <w:p w14:paraId="236E203C" w14:textId="73DE9C1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A7871" w:rsidRPr="006A7871">
        <w:rPr>
          <w:rFonts w:ascii="Arial" w:eastAsia="MS Mincho" w:hAnsi="Arial" w:cs="Arial"/>
          <w:b/>
          <w:bCs/>
          <w:sz w:val="24"/>
          <w:szCs w:val="20"/>
        </w:rPr>
        <w:t>8.24.2.3</w:t>
      </w:r>
    </w:p>
    <w:p w14:paraId="52D7623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BDF5EE0" w14:textId="77777777" w:rsidR="00E323E9" w:rsidRPr="008C39F7" w:rsidRDefault="00E323E9" w:rsidP="00841BCD">
      <w:pPr>
        <w:tabs>
          <w:tab w:val="left" w:pos="1985"/>
        </w:tabs>
        <w:rPr>
          <w:rFonts w:ascii="Arial" w:eastAsia="Calibri" w:hAnsi="Arial" w:cs="Arial"/>
          <w:b/>
          <w:bCs/>
          <w:sz w:val="24"/>
        </w:rPr>
      </w:pPr>
    </w:p>
    <w:p w14:paraId="33478620" w14:textId="76E23284" w:rsidR="00841BCD" w:rsidRDefault="00841BCD" w:rsidP="00CC3077">
      <w:pPr>
        <w:pStyle w:val="RAN4H1"/>
      </w:pPr>
      <w:bookmarkStart w:id="2" w:name="_Toc116995841"/>
      <w:r w:rsidRPr="008C39F7">
        <w:t>Intro</w:t>
      </w:r>
      <w:r w:rsidRPr="008C39F7">
        <w:rPr>
          <w:rStyle w:val="RAN4H1Char"/>
        </w:rPr>
        <w:t>ductio</w:t>
      </w:r>
      <w:r w:rsidRPr="008C39F7">
        <w:t>n</w:t>
      </w:r>
      <w:bookmarkEnd w:id="2"/>
    </w:p>
    <w:p w14:paraId="37422AE5" w14:textId="572D007C" w:rsidR="00934F85" w:rsidRDefault="007220CC" w:rsidP="00D83CFC">
      <w:r w:rsidRPr="007220CC">
        <w:t>In this contribution we discuss the details of LTM cell switch delay. The discussion involves our current views about the different delay components, taking into account the ongoing status of the discussion about L1 measurement requirements and RAN1/RAN2 status.</w:t>
      </w:r>
    </w:p>
    <w:p w14:paraId="7BF9D595" w14:textId="77777777" w:rsidR="00133F93" w:rsidRPr="00934F85" w:rsidRDefault="00133F93" w:rsidP="00CC3077">
      <w:pPr>
        <w:pStyle w:val="RAN4H1"/>
      </w:pPr>
      <w:r w:rsidRPr="00934F85">
        <w:t>Details of cell switch delay requirements for PCell/PSCell</w:t>
      </w:r>
    </w:p>
    <w:p w14:paraId="6C7F4C05" w14:textId="3FDE53E4" w:rsidR="002002A0" w:rsidRDefault="002002A0" w:rsidP="00CC3077">
      <w:pPr>
        <w:pStyle w:val="RAN4H2"/>
      </w:pPr>
      <w:r>
        <w:t>Starting and ending point of the cell switch</w:t>
      </w:r>
    </w:p>
    <w:p w14:paraId="2BFF4CEA" w14:textId="04C0C4BB" w:rsidR="002002A0" w:rsidRDefault="00F72394" w:rsidP="002002A0">
      <w:r>
        <w:t xml:space="preserve">For starting </w:t>
      </w:r>
      <w:r w:rsidR="00475410">
        <w:t xml:space="preserve">and ending </w:t>
      </w:r>
      <w:r>
        <w:t>point of the cell switch, RAN4 has agreed</w:t>
      </w:r>
      <w:r w:rsidR="00475410">
        <w:t xml:space="preserve"> in the #106 meeting</w:t>
      </w:r>
      <w:r>
        <w:t>:</w:t>
      </w:r>
    </w:p>
    <w:tbl>
      <w:tblPr>
        <w:tblStyle w:val="TableGrid"/>
        <w:tblW w:w="0" w:type="auto"/>
        <w:tblLook w:val="04A0" w:firstRow="1" w:lastRow="0" w:firstColumn="1" w:lastColumn="0" w:noHBand="0" w:noVBand="1"/>
      </w:tblPr>
      <w:tblGrid>
        <w:gridCol w:w="9617"/>
      </w:tblGrid>
      <w:tr w:rsidR="00475410" w14:paraId="558D8FC0" w14:textId="77777777" w:rsidTr="00475410">
        <w:tc>
          <w:tcPr>
            <w:tcW w:w="9617" w:type="dxa"/>
          </w:tcPr>
          <w:p w14:paraId="71537D09" w14:textId="77777777" w:rsidR="00475410" w:rsidRPr="00475410" w:rsidRDefault="00475410" w:rsidP="00475410">
            <w:pPr>
              <w:spacing w:after="120"/>
              <w:jc w:val="left"/>
              <w:rPr>
                <w:rFonts w:eastAsia="Times New Roman" w:cs="Times New Roman"/>
                <w:szCs w:val="20"/>
                <w:lang w:val="en-GB"/>
              </w:rPr>
            </w:pPr>
            <w:r w:rsidRPr="00475410">
              <w:rPr>
                <w:rFonts w:eastAsia="Times New Roman" w:cs="Times New Roman"/>
                <w:b/>
                <w:bCs/>
                <w:szCs w:val="20"/>
                <w:u w:val="single"/>
                <w:lang w:val="en-GB"/>
              </w:rPr>
              <w:t>Issue 4-2-1: Starting point of cell switch delay for PCell/PSCell</w:t>
            </w:r>
          </w:p>
          <w:p w14:paraId="70F9F25B" w14:textId="77777777" w:rsidR="00475410" w:rsidRPr="00475410" w:rsidRDefault="00475410" w:rsidP="00475410">
            <w:pPr>
              <w:spacing w:after="120"/>
              <w:jc w:val="left"/>
              <w:rPr>
                <w:rFonts w:eastAsia="Times New Roman" w:cs="Times New Roman"/>
                <w:szCs w:val="20"/>
                <w:highlight w:val="green"/>
                <w:lang w:val="en-GB"/>
              </w:rPr>
            </w:pPr>
            <w:r w:rsidRPr="00475410">
              <w:rPr>
                <w:rFonts w:eastAsia="Times New Roman" w:cs="Times New Roman"/>
                <w:b/>
                <w:bCs/>
                <w:szCs w:val="20"/>
                <w:highlight w:val="green"/>
                <w:lang w:val="en-GB"/>
              </w:rPr>
              <w:t>&lt; Agreement &gt;</w:t>
            </w:r>
            <w:r w:rsidRPr="00475410">
              <w:rPr>
                <w:rFonts w:eastAsia="Times New Roman" w:cs="Times New Roman"/>
                <w:szCs w:val="20"/>
                <w:highlight w:val="green"/>
                <w:lang w:val="en-GB"/>
              </w:rPr>
              <w:t>:</w:t>
            </w:r>
          </w:p>
          <w:p w14:paraId="3FD38EAF" w14:textId="77777777" w:rsidR="00475410" w:rsidRPr="00475410" w:rsidRDefault="00475410" w:rsidP="00CC3077">
            <w:pPr>
              <w:numPr>
                <w:ilvl w:val="0"/>
                <w:numId w:val="16"/>
              </w:numPr>
              <w:spacing w:after="120"/>
              <w:jc w:val="left"/>
              <w:textAlignment w:val="center"/>
              <w:rPr>
                <w:rFonts w:ascii="Calibri" w:eastAsia="Times New Roman" w:hAnsi="Calibri" w:cs="Calibri"/>
                <w:sz w:val="22"/>
                <w:lang w:val="en-GB"/>
              </w:rPr>
            </w:pPr>
            <w:r w:rsidRPr="00475410">
              <w:rPr>
                <w:rFonts w:eastAsia="Times New Roman" w:cs="Times New Roman"/>
                <w:szCs w:val="20"/>
                <w:lang w:val="en-GB"/>
              </w:rPr>
              <w:t>Cell switch delay for PCell/PSCell starts at UE receives cell switch command.</w:t>
            </w:r>
          </w:p>
          <w:p w14:paraId="3215B2B5" w14:textId="040E5E93" w:rsidR="00475410" w:rsidRPr="00475410" w:rsidRDefault="00475410" w:rsidP="00475410">
            <w:pPr>
              <w:spacing w:after="120"/>
              <w:jc w:val="left"/>
              <w:rPr>
                <w:rFonts w:eastAsia="Times New Roman" w:cs="Times New Roman"/>
                <w:szCs w:val="20"/>
                <w:lang w:val="en-GB"/>
              </w:rPr>
            </w:pPr>
          </w:p>
          <w:p w14:paraId="05758926" w14:textId="77777777" w:rsidR="00475410" w:rsidRPr="00475410" w:rsidRDefault="00475410" w:rsidP="00475410">
            <w:pPr>
              <w:spacing w:after="120"/>
              <w:jc w:val="left"/>
              <w:rPr>
                <w:rFonts w:eastAsia="Times New Roman" w:cs="Times New Roman"/>
                <w:szCs w:val="20"/>
                <w:lang w:val="en-GB"/>
              </w:rPr>
            </w:pPr>
            <w:r w:rsidRPr="00475410">
              <w:rPr>
                <w:rFonts w:eastAsia="Times New Roman" w:cs="Times New Roman"/>
                <w:b/>
                <w:bCs/>
                <w:szCs w:val="20"/>
                <w:u w:val="single"/>
                <w:lang w:val="en-GB"/>
              </w:rPr>
              <w:t>Issue 4-2-2: Ending point of RACH-based cell switch delay for PCell/PSCell</w:t>
            </w:r>
          </w:p>
          <w:p w14:paraId="704933D0" w14:textId="77777777" w:rsidR="00475410" w:rsidRPr="00475410" w:rsidRDefault="00475410" w:rsidP="00475410">
            <w:pPr>
              <w:spacing w:after="120"/>
              <w:jc w:val="left"/>
              <w:rPr>
                <w:rFonts w:eastAsia="Times New Roman" w:cs="Times New Roman"/>
                <w:szCs w:val="20"/>
                <w:highlight w:val="green"/>
                <w:lang w:val="en-GB"/>
              </w:rPr>
            </w:pPr>
            <w:r w:rsidRPr="00475410">
              <w:rPr>
                <w:rFonts w:eastAsia="Times New Roman" w:cs="Times New Roman"/>
                <w:b/>
                <w:bCs/>
                <w:szCs w:val="20"/>
                <w:highlight w:val="green"/>
                <w:lang w:val="en-GB"/>
              </w:rPr>
              <w:t>&lt; Agreement &gt;</w:t>
            </w:r>
            <w:r w:rsidRPr="00475410">
              <w:rPr>
                <w:rFonts w:eastAsia="Times New Roman" w:cs="Times New Roman"/>
                <w:szCs w:val="20"/>
                <w:highlight w:val="green"/>
                <w:lang w:val="en-GB"/>
              </w:rPr>
              <w:t>:</w:t>
            </w:r>
          </w:p>
          <w:p w14:paraId="435595FE" w14:textId="77777777" w:rsidR="00475410" w:rsidRPr="00475410" w:rsidRDefault="00475410" w:rsidP="00CC3077">
            <w:pPr>
              <w:numPr>
                <w:ilvl w:val="0"/>
                <w:numId w:val="17"/>
              </w:numPr>
              <w:spacing w:after="120"/>
              <w:jc w:val="left"/>
              <w:textAlignment w:val="center"/>
              <w:rPr>
                <w:rFonts w:ascii="Calibri" w:eastAsia="Times New Roman" w:hAnsi="Calibri" w:cs="Calibri"/>
                <w:sz w:val="22"/>
                <w:lang w:val="en-GB"/>
              </w:rPr>
            </w:pPr>
            <w:r w:rsidRPr="00475410">
              <w:rPr>
                <w:rFonts w:eastAsia="Times New Roman" w:cs="Times New Roman"/>
                <w:szCs w:val="20"/>
                <w:lang w:val="en-GB"/>
              </w:rPr>
              <w:t>For RACH-based cell switch, cell switch delay for PCell/PSCell ends at UE transmitting PRACH to the target cell.</w:t>
            </w:r>
          </w:p>
          <w:p w14:paraId="7F96C196" w14:textId="77777777" w:rsidR="00475410" w:rsidRDefault="00475410" w:rsidP="002002A0"/>
        </w:tc>
      </w:tr>
    </w:tbl>
    <w:p w14:paraId="71F2A22F" w14:textId="77777777" w:rsidR="00F72394" w:rsidRDefault="00F72394" w:rsidP="002002A0"/>
    <w:p w14:paraId="7F1AFB3C" w14:textId="255CF457" w:rsidR="00DE5A10" w:rsidRDefault="00DE5A10" w:rsidP="002002A0">
      <w:r>
        <w:t>What is still open is the ending point of the RACH-less cell switch.</w:t>
      </w:r>
      <w:r w:rsidR="009C28EF">
        <w:t xml:space="preserve"> Based on the RAN2 design, the UE will send RRC reconfiguration complete message to the target cell</w:t>
      </w:r>
      <w:r w:rsidR="00815504">
        <w:t xml:space="preserve"> when accessing the cell</w:t>
      </w:r>
      <w:r w:rsidR="004760E3">
        <w:t xml:space="preserve">. As proposed by some companies in the previous meeting, this can be considered to be the ending point of the LTM cell switch delay in the RACH-less </w:t>
      </w:r>
      <w:r w:rsidR="00D10BA8">
        <w:t>cell switch</w:t>
      </w:r>
      <w:r w:rsidR="001B011D">
        <w:t xml:space="preserve"> case</w:t>
      </w:r>
      <w:r w:rsidR="00D10BA8">
        <w:t>.</w:t>
      </w:r>
    </w:p>
    <w:p w14:paraId="4D36EF03" w14:textId="349006AF" w:rsidR="00D10BA8" w:rsidRDefault="00D10BA8" w:rsidP="00D10BA8">
      <w:pPr>
        <w:pStyle w:val="RAN4proposal"/>
      </w:pPr>
      <w:bookmarkStart w:id="3" w:name="_Toc142661676"/>
      <w:r>
        <w:t xml:space="preserve">RACH-less cell switch delay </w:t>
      </w:r>
      <w:r w:rsidR="00B479B3">
        <w:t xml:space="preserve">ending point </w:t>
      </w:r>
      <w:r>
        <w:t>for PCell/PS</w:t>
      </w:r>
      <w:r w:rsidR="00B479B3">
        <w:t>C</w:t>
      </w:r>
      <w:r>
        <w:t xml:space="preserve">ell </w:t>
      </w:r>
      <w:r w:rsidR="00B479B3">
        <w:t>is when</w:t>
      </w:r>
      <w:r>
        <w:t xml:space="preserve"> the UE transmit</w:t>
      </w:r>
      <w:r w:rsidR="00B479B3">
        <w:t>s</w:t>
      </w:r>
      <w:r>
        <w:t xml:space="preserve"> RRC reconfiguration complete to the target cell.</w:t>
      </w:r>
      <w:bookmarkEnd w:id="3"/>
    </w:p>
    <w:p w14:paraId="5A29A56F" w14:textId="040BED49" w:rsidR="001A4A43" w:rsidRPr="00B54D2A" w:rsidRDefault="00934F85" w:rsidP="00CC3077">
      <w:pPr>
        <w:pStyle w:val="RAN4H2"/>
      </w:pPr>
      <w:r>
        <w:t>Delay components</w:t>
      </w:r>
    </w:p>
    <w:p w14:paraId="7DE7C58F" w14:textId="5138A305" w:rsidR="001A4A43" w:rsidRPr="00916E30" w:rsidRDefault="00916E30" w:rsidP="001A4A43">
      <w:r w:rsidRPr="00916E30">
        <w:t>In</w:t>
      </w:r>
      <w:r w:rsidR="001A4A43" w:rsidRPr="00916E30">
        <w:t xml:space="preserve"> RAN4#106-bis meeting, the following agreements were made regarding the baseline of RACH-based and RACH-less cell switch delay for PCell and PSCell:</w:t>
      </w:r>
    </w:p>
    <w:tbl>
      <w:tblPr>
        <w:tblStyle w:val="TableGrid"/>
        <w:tblW w:w="0" w:type="auto"/>
        <w:tblLook w:val="04A0" w:firstRow="1" w:lastRow="0" w:firstColumn="1" w:lastColumn="0" w:noHBand="0" w:noVBand="1"/>
      </w:tblPr>
      <w:tblGrid>
        <w:gridCol w:w="9617"/>
      </w:tblGrid>
      <w:tr w:rsidR="001A4A43" w:rsidRPr="00916E30" w14:paraId="79CE9FDD" w14:textId="77777777">
        <w:tc>
          <w:tcPr>
            <w:tcW w:w="9617" w:type="dxa"/>
          </w:tcPr>
          <w:p w14:paraId="3F92F7F5" w14:textId="77777777" w:rsidR="001A4A43" w:rsidRPr="00916E30" w:rsidRDefault="001A4A43">
            <w:pPr>
              <w:spacing w:after="120"/>
              <w:rPr>
                <w:szCs w:val="20"/>
                <w:lang w:val="en-GB"/>
              </w:rPr>
            </w:pPr>
            <w:r w:rsidRPr="00916E30">
              <w:rPr>
                <w:b/>
                <w:bCs/>
                <w:szCs w:val="20"/>
                <w:u w:val="single"/>
                <w:lang w:val="en-GB"/>
              </w:rPr>
              <w:t>Issue 3-3-1: RACH-based Cell switch delay for Pcell/PSCell</w:t>
            </w:r>
          </w:p>
          <w:p w14:paraId="043F5956" w14:textId="77777777" w:rsidR="001A4A43" w:rsidRPr="00916E30" w:rsidRDefault="001A4A43">
            <w:pPr>
              <w:spacing w:after="120"/>
              <w:ind w:left="540"/>
              <w:rPr>
                <w:szCs w:val="20"/>
                <w:lang w:val="en-GB"/>
              </w:rPr>
            </w:pPr>
            <w:r w:rsidRPr="00916E30">
              <w:rPr>
                <w:b/>
                <w:bCs/>
                <w:szCs w:val="20"/>
                <w:highlight w:val="green"/>
                <w:lang w:val="en-GB"/>
              </w:rPr>
              <w:t>&lt; Agreement&gt;:</w:t>
            </w:r>
          </w:p>
          <w:p w14:paraId="0D52D7DE" w14:textId="77777777" w:rsidR="001A4A43" w:rsidRPr="00916E30" w:rsidRDefault="001A4A43" w:rsidP="00CC3077">
            <w:pPr>
              <w:numPr>
                <w:ilvl w:val="0"/>
                <w:numId w:val="7"/>
              </w:numPr>
              <w:spacing w:after="120"/>
              <w:jc w:val="left"/>
              <w:textAlignment w:val="center"/>
              <w:rPr>
                <w:szCs w:val="20"/>
              </w:rPr>
            </w:pPr>
            <w:r w:rsidRPr="00916E30">
              <w:rPr>
                <w:szCs w:val="20"/>
                <w:lang w:val="en-GB"/>
              </w:rPr>
              <w:lastRenderedPageBreak/>
              <w:t>The baseline of RACH-based cell switch delay requirements is T</w:t>
            </w:r>
            <w:r w:rsidRPr="00916E30">
              <w:rPr>
                <w:szCs w:val="20"/>
                <w:vertAlign w:val="subscript"/>
                <w:lang w:val="en-GB"/>
              </w:rPr>
              <w:t>delay</w:t>
            </w:r>
            <w:r w:rsidRPr="00916E30">
              <w:rPr>
                <w:szCs w:val="20"/>
                <w:lang w:val="en-GB"/>
              </w:rPr>
              <w:t xml:space="preserve"> = T</w:t>
            </w:r>
            <w:r w:rsidRPr="00916E30">
              <w:rPr>
                <w:szCs w:val="20"/>
                <w:vertAlign w:val="subscript"/>
                <w:lang w:val="en-GB"/>
              </w:rPr>
              <w:t xml:space="preserve">cmd </w:t>
            </w:r>
            <w:r w:rsidRPr="00916E30">
              <w:rPr>
                <w:szCs w:val="20"/>
                <w:lang w:val="en-GB"/>
              </w:rPr>
              <w:t>+ T</w:t>
            </w:r>
            <w:r w:rsidRPr="00916E30">
              <w:rPr>
                <w:szCs w:val="20"/>
                <w:vertAlign w:val="subscript"/>
                <w:lang w:val="en-GB"/>
              </w:rPr>
              <w:t>processing</w:t>
            </w:r>
            <w:r w:rsidRPr="00916E30">
              <w:rPr>
                <w:szCs w:val="20"/>
                <w:lang w:val="en-GB"/>
              </w:rPr>
              <w:t xml:space="preserve"> / T</w:t>
            </w:r>
            <w:r w:rsidRPr="00916E30">
              <w:rPr>
                <w:szCs w:val="20"/>
                <w:vertAlign w:val="subscript"/>
                <w:lang w:val="en-GB"/>
              </w:rPr>
              <w:t>LTM</w:t>
            </w:r>
            <w:r w:rsidRPr="00916E30">
              <w:rPr>
                <w:szCs w:val="20"/>
                <w:lang w:val="en-GB"/>
              </w:rPr>
              <w:t>-</w:t>
            </w:r>
            <w:r w:rsidRPr="00916E30">
              <w:rPr>
                <w:szCs w:val="20"/>
                <w:vertAlign w:val="subscript"/>
                <w:lang w:val="en-GB"/>
              </w:rPr>
              <w:t>processing</w:t>
            </w:r>
            <w:r w:rsidRPr="00916E30">
              <w:rPr>
                <w:szCs w:val="20"/>
                <w:lang w:val="en-GB"/>
              </w:rPr>
              <w:t xml:space="preserve"> + T</w:t>
            </w:r>
            <w:r w:rsidRPr="00916E30">
              <w:rPr>
                <w:szCs w:val="20"/>
                <w:vertAlign w:val="subscript"/>
                <w:lang w:val="en-GB"/>
              </w:rPr>
              <w:t>search</w:t>
            </w:r>
            <w:r w:rsidRPr="00916E30">
              <w:rPr>
                <w:szCs w:val="20"/>
                <w:lang w:val="en-GB"/>
              </w:rPr>
              <w:t xml:space="preserve"> + T</w:t>
            </w:r>
            <w:r w:rsidRPr="00916E30">
              <w:rPr>
                <w:rFonts w:eastAsia="Microsoft YaHei"/>
                <w:szCs w:val="20"/>
                <w:vertAlign w:val="subscript"/>
                <w:lang w:val="en-GB"/>
              </w:rPr>
              <w:t>∆</w:t>
            </w:r>
            <w:r w:rsidRPr="00916E30">
              <w:rPr>
                <w:szCs w:val="20"/>
                <w:lang w:val="en-GB"/>
              </w:rPr>
              <w:t xml:space="preserve"> + T</w:t>
            </w:r>
            <w:r w:rsidRPr="00916E30">
              <w:rPr>
                <w:szCs w:val="20"/>
                <w:vertAlign w:val="subscript"/>
                <w:lang w:val="en-GB"/>
              </w:rPr>
              <w:t xml:space="preserve">margin </w:t>
            </w:r>
            <w:r w:rsidRPr="00916E30">
              <w:rPr>
                <w:szCs w:val="20"/>
                <w:lang w:val="en-GB"/>
              </w:rPr>
              <w:t xml:space="preserve">+ </w:t>
            </w:r>
            <w:r w:rsidRPr="00916E30">
              <w:rPr>
                <w:szCs w:val="20"/>
              </w:rPr>
              <w:t>T</w:t>
            </w:r>
            <w:r w:rsidRPr="00916E30">
              <w:rPr>
                <w:szCs w:val="20"/>
                <w:vertAlign w:val="subscript"/>
              </w:rPr>
              <w:t>uncertainity</w:t>
            </w:r>
            <w:r w:rsidRPr="00916E30">
              <w:rPr>
                <w:szCs w:val="20"/>
                <w:lang w:val="en-GB"/>
              </w:rPr>
              <w:t>/T</w:t>
            </w:r>
            <w:r w:rsidRPr="00916E30">
              <w:rPr>
                <w:szCs w:val="20"/>
                <w:vertAlign w:val="subscript"/>
                <w:lang w:val="en-GB"/>
              </w:rPr>
              <w:t>IU</w:t>
            </w:r>
            <w:r w:rsidRPr="00916E30">
              <w:rPr>
                <w:szCs w:val="20"/>
                <w:lang w:val="en-GB"/>
              </w:rPr>
              <w:t xml:space="preserve">, where </w:t>
            </w:r>
            <w:r w:rsidRPr="00916E30">
              <w:rPr>
                <w:szCs w:val="20"/>
              </w:rPr>
              <w:t>T</w:t>
            </w:r>
            <w:r w:rsidRPr="00916E30">
              <w:rPr>
                <w:szCs w:val="20"/>
                <w:vertAlign w:val="subscript"/>
              </w:rPr>
              <w:t>uncertainity</w:t>
            </w:r>
            <w:r w:rsidRPr="00916E30">
              <w:rPr>
                <w:szCs w:val="20"/>
                <w:lang w:val="en-GB"/>
              </w:rPr>
              <w:t>/T</w:t>
            </w:r>
            <w:r w:rsidRPr="00916E30">
              <w:rPr>
                <w:szCs w:val="20"/>
                <w:vertAlign w:val="subscript"/>
                <w:lang w:val="en-GB"/>
              </w:rPr>
              <w:t>IU</w:t>
            </w:r>
            <w:r w:rsidRPr="00916E30">
              <w:rPr>
                <w:szCs w:val="20"/>
                <w:lang w:val="en-GB"/>
              </w:rPr>
              <w:t xml:space="preserve"> is the uncertainty in acquiring the first available PRACH occasion in the new cell.</w:t>
            </w:r>
          </w:p>
          <w:p w14:paraId="3E3005CA" w14:textId="77777777" w:rsidR="001A4A43" w:rsidRPr="00916E30" w:rsidRDefault="001A4A43" w:rsidP="00CC3077">
            <w:pPr>
              <w:numPr>
                <w:ilvl w:val="1"/>
                <w:numId w:val="7"/>
              </w:numPr>
              <w:spacing w:after="120"/>
              <w:jc w:val="left"/>
              <w:textAlignment w:val="center"/>
              <w:rPr>
                <w:szCs w:val="20"/>
                <w:lang w:val="en-GB"/>
              </w:rPr>
            </w:pPr>
            <w:r w:rsidRPr="00916E30">
              <w:rPr>
                <w:szCs w:val="20"/>
                <w:lang w:val="en-GB"/>
              </w:rPr>
              <w:t>FFS: the exact value of each component. Some components can be 0 in certain cases, if agreed.</w:t>
            </w:r>
          </w:p>
          <w:p w14:paraId="535ADB51" w14:textId="77777777" w:rsidR="001A4A43" w:rsidRPr="00916E30" w:rsidRDefault="001A4A43" w:rsidP="00CC3077">
            <w:pPr>
              <w:numPr>
                <w:ilvl w:val="1"/>
                <w:numId w:val="7"/>
              </w:numPr>
              <w:spacing w:after="120"/>
              <w:jc w:val="left"/>
              <w:textAlignment w:val="center"/>
              <w:rPr>
                <w:szCs w:val="20"/>
                <w:lang w:val="en-GB"/>
              </w:rPr>
            </w:pPr>
            <w:r w:rsidRPr="00916E30">
              <w:rPr>
                <w:szCs w:val="20"/>
                <w:lang w:val="en-GB"/>
              </w:rPr>
              <w:t>FFS: add/remove/modify other component(s).</w:t>
            </w:r>
          </w:p>
          <w:p w14:paraId="5F9C9076" w14:textId="77777777" w:rsidR="001A4A43" w:rsidRPr="00916E30" w:rsidRDefault="001A4A43">
            <w:pPr>
              <w:spacing w:after="120"/>
              <w:ind w:left="1620"/>
              <w:rPr>
                <w:szCs w:val="20"/>
                <w:lang w:val="en-GB"/>
              </w:rPr>
            </w:pPr>
            <w:r w:rsidRPr="00916E30">
              <w:rPr>
                <w:szCs w:val="20"/>
                <w:lang w:val="en-GB"/>
              </w:rPr>
              <w:t>Note: ‘/’ means ‘or’ here.</w:t>
            </w:r>
          </w:p>
          <w:p w14:paraId="145ED723" w14:textId="77777777" w:rsidR="001A4A43" w:rsidRPr="00916E30" w:rsidRDefault="001A4A43">
            <w:pPr>
              <w:spacing w:after="120"/>
              <w:rPr>
                <w:szCs w:val="20"/>
                <w:lang w:val="en-GB"/>
              </w:rPr>
            </w:pPr>
            <w:r w:rsidRPr="00916E30">
              <w:rPr>
                <w:b/>
                <w:bCs/>
                <w:szCs w:val="20"/>
                <w:u w:val="single"/>
                <w:lang w:val="en-GB"/>
              </w:rPr>
              <w:t>Issue 3-3-2: RACH-less Cell switch delay for Pcell/PSCell</w:t>
            </w:r>
          </w:p>
          <w:p w14:paraId="15700C25" w14:textId="77777777" w:rsidR="001A4A43" w:rsidRPr="00916E30" w:rsidRDefault="001A4A43">
            <w:pPr>
              <w:spacing w:after="120"/>
              <w:ind w:left="540"/>
              <w:rPr>
                <w:szCs w:val="20"/>
                <w:lang w:val="en-GB"/>
              </w:rPr>
            </w:pPr>
            <w:r w:rsidRPr="00916E30">
              <w:rPr>
                <w:b/>
                <w:bCs/>
                <w:szCs w:val="20"/>
                <w:highlight w:val="green"/>
                <w:lang w:val="en-GB"/>
              </w:rPr>
              <w:t>&lt; Agreement&gt;:</w:t>
            </w:r>
          </w:p>
          <w:p w14:paraId="068EA449" w14:textId="77777777" w:rsidR="001A4A43" w:rsidRPr="00916E30" w:rsidRDefault="001A4A43" w:rsidP="00CC3077">
            <w:pPr>
              <w:numPr>
                <w:ilvl w:val="0"/>
                <w:numId w:val="8"/>
              </w:numPr>
              <w:spacing w:after="120"/>
              <w:jc w:val="left"/>
              <w:textAlignment w:val="center"/>
              <w:rPr>
                <w:szCs w:val="20"/>
              </w:rPr>
            </w:pPr>
            <w:r w:rsidRPr="00916E30">
              <w:rPr>
                <w:szCs w:val="20"/>
                <w:lang w:val="en-GB"/>
              </w:rPr>
              <w:t>The baseline of RACH-less cell switch delay requirements is T</w:t>
            </w:r>
            <w:r w:rsidRPr="00916E30">
              <w:rPr>
                <w:szCs w:val="20"/>
                <w:vertAlign w:val="subscript"/>
                <w:lang w:val="en-GB"/>
              </w:rPr>
              <w:t>delay</w:t>
            </w:r>
            <w:r w:rsidRPr="00916E30">
              <w:rPr>
                <w:szCs w:val="20"/>
                <w:lang w:val="en-GB"/>
              </w:rPr>
              <w:t xml:space="preserve"> = T</w:t>
            </w:r>
            <w:r w:rsidRPr="00916E30">
              <w:rPr>
                <w:szCs w:val="20"/>
                <w:vertAlign w:val="subscript"/>
                <w:lang w:val="en-GB"/>
              </w:rPr>
              <w:t xml:space="preserve">cmd </w:t>
            </w:r>
            <w:r w:rsidRPr="00916E30">
              <w:rPr>
                <w:szCs w:val="20"/>
                <w:lang w:val="en-GB"/>
              </w:rPr>
              <w:t>+ T</w:t>
            </w:r>
            <w:r w:rsidRPr="00916E30">
              <w:rPr>
                <w:szCs w:val="20"/>
                <w:vertAlign w:val="subscript"/>
                <w:lang w:val="en-GB"/>
              </w:rPr>
              <w:t>processing,2</w:t>
            </w:r>
            <w:r w:rsidRPr="00916E30">
              <w:rPr>
                <w:szCs w:val="20"/>
                <w:lang w:val="en-GB"/>
              </w:rPr>
              <w:t xml:space="preserve"> / T</w:t>
            </w:r>
            <w:r w:rsidRPr="00916E30">
              <w:rPr>
                <w:szCs w:val="20"/>
                <w:vertAlign w:val="subscript"/>
                <w:lang w:val="en-GB"/>
              </w:rPr>
              <w:t>LTM</w:t>
            </w:r>
            <w:r w:rsidRPr="00916E30">
              <w:rPr>
                <w:szCs w:val="20"/>
                <w:lang w:val="en-GB"/>
              </w:rPr>
              <w:t>-</w:t>
            </w:r>
            <w:r w:rsidRPr="00916E30">
              <w:rPr>
                <w:szCs w:val="20"/>
                <w:vertAlign w:val="subscript"/>
                <w:lang w:val="en-GB"/>
              </w:rPr>
              <w:t>processing</w:t>
            </w:r>
            <w:r w:rsidRPr="00916E30">
              <w:rPr>
                <w:szCs w:val="20"/>
                <w:lang w:val="en-GB"/>
              </w:rPr>
              <w:t xml:space="preserve"> + T</w:t>
            </w:r>
            <w:r w:rsidRPr="00916E30">
              <w:rPr>
                <w:szCs w:val="20"/>
                <w:vertAlign w:val="subscript"/>
                <w:lang w:val="en-GB"/>
              </w:rPr>
              <w:t>search</w:t>
            </w:r>
            <w:r w:rsidRPr="00916E30">
              <w:rPr>
                <w:szCs w:val="20"/>
                <w:lang w:val="en-GB"/>
              </w:rPr>
              <w:t xml:space="preserve"> + T</w:t>
            </w:r>
            <w:r w:rsidRPr="00916E30">
              <w:rPr>
                <w:rFonts w:eastAsia="Microsoft YaHei"/>
                <w:szCs w:val="20"/>
                <w:vertAlign w:val="subscript"/>
                <w:lang w:val="en-GB"/>
              </w:rPr>
              <w:t>∆</w:t>
            </w:r>
            <w:r w:rsidRPr="00916E30">
              <w:rPr>
                <w:szCs w:val="20"/>
                <w:lang w:val="en-GB"/>
              </w:rPr>
              <w:t xml:space="preserve"> + T</w:t>
            </w:r>
            <w:r w:rsidRPr="00916E30">
              <w:rPr>
                <w:szCs w:val="20"/>
                <w:vertAlign w:val="subscript"/>
                <w:lang w:val="en-GB"/>
              </w:rPr>
              <w:t xml:space="preserve">margin </w:t>
            </w:r>
            <w:r w:rsidRPr="00916E30">
              <w:rPr>
                <w:szCs w:val="20"/>
                <w:lang w:val="en-GB"/>
              </w:rPr>
              <w:t>+</w:t>
            </w:r>
            <w:r w:rsidRPr="00916E30">
              <w:rPr>
                <w:szCs w:val="20"/>
              </w:rPr>
              <w:t xml:space="preserve"> T</w:t>
            </w:r>
            <w:r w:rsidRPr="00916E30">
              <w:rPr>
                <w:szCs w:val="20"/>
                <w:vertAlign w:val="subscript"/>
              </w:rPr>
              <w:t>uncertainity</w:t>
            </w:r>
            <w:r w:rsidRPr="00916E30">
              <w:rPr>
                <w:szCs w:val="20"/>
              </w:rPr>
              <w:t>/T</w:t>
            </w:r>
            <w:r w:rsidRPr="00916E30">
              <w:rPr>
                <w:szCs w:val="20"/>
                <w:vertAlign w:val="subscript"/>
              </w:rPr>
              <w:t>IU</w:t>
            </w:r>
            <w:r w:rsidRPr="00916E30">
              <w:rPr>
                <w:szCs w:val="20"/>
                <w:lang w:val="en-GB"/>
              </w:rPr>
              <w:t>,</w:t>
            </w:r>
          </w:p>
          <w:p w14:paraId="29414AE1" w14:textId="77777777" w:rsidR="001A4A43" w:rsidRPr="00916E30" w:rsidRDefault="001A4A43" w:rsidP="00CC3077">
            <w:pPr>
              <w:numPr>
                <w:ilvl w:val="1"/>
                <w:numId w:val="8"/>
              </w:numPr>
              <w:spacing w:after="120"/>
              <w:jc w:val="left"/>
              <w:textAlignment w:val="center"/>
              <w:rPr>
                <w:szCs w:val="20"/>
                <w:lang w:val="en-GB"/>
              </w:rPr>
            </w:pPr>
            <w:r w:rsidRPr="00916E30">
              <w:rPr>
                <w:szCs w:val="20"/>
                <w:lang w:val="en-GB"/>
              </w:rPr>
              <w:t>FFS: the ending point</w:t>
            </w:r>
          </w:p>
          <w:p w14:paraId="48E262B8" w14:textId="77777777" w:rsidR="001A4A43" w:rsidRPr="00916E30" w:rsidRDefault="001A4A43" w:rsidP="00CC3077">
            <w:pPr>
              <w:numPr>
                <w:ilvl w:val="1"/>
                <w:numId w:val="8"/>
              </w:numPr>
              <w:spacing w:after="120"/>
              <w:jc w:val="left"/>
              <w:textAlignment w:val="center"/>
              <w:rPr>
                <w:szCs w:val="20"/>
                <w:lang w:val="en-GB"/>
              </w:rPr>
            </w:pPr>
            <w:r w:rsidRPr="00916E30">
              <w:rPr>
                <w:szCs w:val="20"/>
                <w:lang w:val="en-GB"/>
              </w:rPr>
              <w:t>FFS: the exact value of each component. Some components can be 0 in certain cases, if agreed.</w:t>
            </w:r>
          </w:p>
          <w:p w14:paraId="2FF20389" w14:textId="77777777" w:rsidR="001A4A43" w:rsidRPr="00916E30" w:rsidRDefault="001A4A43" w:rsidP="00CC3077">
            <w:pPr>
              <w:numPr>
                <w:ilvl w:val="1"/>
                <w:numId w:val="8"/>
              </w:numPr>
              <w:spacing w:after="120"/>
              <w:jc w:val="left"/>
              <w:textAlignment w:val="center"/>
              <w:rPr>
                <w:szCs w:val="20"/>
                <w:lang w:val="en-GB"/>
              </w:rPr>
            </w:pPr>
            <w:r w:rsidRPr="00916E30">
              <w:rPr>
                <w:szCs w:val="20"/>
                <w:lang w:val="en-GB"/>
              </w:rPr>
              <w:t>FFS: add/remove/modify other component(s).</w:t>
            </w:r>
          </w:p>
          <w:p w14:paraId="727E7EAD" w14:textId="77777777" w:rsidR="001A4A43" w:rsidRPr="00916E30" w:rsidRDefault="001A4A43">
            <w:pPr>
              <w:spacing w:after="120"/>
              <w:ind w:left="2160"/>
              <w:rPr>
                <w:szCs w:val="20"/>
                <w:lang w:val="en-GB"/>
              </w:rPr>
            </w:pPr>
            <w:r w:rsidRPr="00916E30">
              <w:rPr>
                <w:szCs w:val="20"/>
                <w:lang w:val="en-GB"/>
              </w:rPr>
              <w:t>Note: ‘/’ means ‘or’ here.</w:t>
            </w:r>
          </w:p>
        </w:tc>
      </w:tr>
    </w:tbl>
    <w:p w14:paraId="06D7EC95" w14:textId="77777777" w:rsidR="001A4A43" w:rsidRPr="00916E30" w:rsidRDefault="001A4A43" w:rsidP="001A4A43"/>
    <w:p w14:paraId="050ADA53" w14:textId="6ACAB54A" w:rsidR="0060543D" w:rsidRPr="00916E30" w:rsidRDefault="001A4A43" w:rsidP="009A6AA4">
      <w:r w:rsidRPr="00916E30">
        <w:t>In the following we discuss the components of T</w:t>
      </w:r>
      <w:r w:rsidRPr="00916E30">
        <w:rPr>
          <w:vertAlign w:val="subscript"/>
        </w:rPr>
        <w:t>delay</w:t>
      </w:r>
      <w:r w:rsidRPr="00916E30">
        <w:t xml:space="preserve"> further one by one.</w:t>
      </w:r>
    </w:p>
    <w:p w14:paraId="0BB9D98B" w14:textId="77777777" w:rsidR="009A6AA4" w:rsidRPr="00916E30" w:rsidRDefault="009A6AA4" w:rsidP="00CC3077">
      <w:pPr>
        <w:pStyle w:val="RAN4H3"/>
      </w:pPr>
      <w:r w:rsidRPr="00916E30">
        <w:t>T</w:t>
      </w:r>
      <w:r w:rsidRPr="00916E30">
        <w:rPr>
          <w:vertAlign w:val="subscript"/>
        </w:rPr>
        <w:t>cmd</w:t>
      </w:r>
    </w:p>
    <w:p w14:paraId="73DB5267" w14:textId="60AF3EFA" w:rsidR="009A6AA4" w:rsidRPr="00916E30" w:rsidRDefault="009A6AA4" w:rsidP="009A6AA4">
      <w:r w:rsidRPr="00916E30">
        <w:t>The value for T</w:t>
      </w:r>
      <w:r w:rsidRPr="00916E30">
        <w:rPr>
          <w:vertAlign w:val="subscript"/>
        </w:rPr>
        <w:t>cmd</w:t>
      </w:r>
      <w:r w:rsidRPr="00916E30">
        <w:t>, which corresponds to the time it takes for the UE to process the MAC-CE cell switch command, was agreed to be T</w:t>
      </w:r>
      <w:r w:rsidRPr="00916E30">
        <w:rPr>
          <w:vertAlign w:val="subscript"/>
        </w:rPr>
        <w:t>HARQ</w:t>
      </w:r>
      <w:r w:rsidRPr="00916E30">
        <w:t>+3ms in the last RAN4 meeting.</w:t>
      </w:r>
    </w:p>
    <w:p w14:paraId="69A8F55F" w14:textId="4A30D5C4" w:rsidR="00827515" w:rsidRPr="00F04CF8" w:rsidRDefault="00827515" w:rsidP="00CC3077">
      <w:pPr>
        <w:pStyle w:val="RAN4H3"/>
        <w:rPr>
          <w:sz w:val="36"/>
          <w:vertAlign w:val="subscript"/>
        </w:rPr>
      </w:pPr>
      <w:r w:rsidRPr="00F04CF8">
        <w:t>T</w:t>
      </w:r>
      <w:r w:rsidRPr="00F04CF8">
        <w:rPr>
          <w:vertAlign w:val="subscript"/>
        </w:rPr>
        <w:t>LTM-processing</w:t>
      </w:r>
    </w:p>
    <w:p w14:paraId="438A9A78" w14:textId="2A92D9EB" w:rsidR="00BB6EE6" w:rsidRPr="00F04CF8" w:rsidRDefault="00BB6EE6" w:rsidP="00BB6EE6">
      <w:r w:rsidRPr="00F04CF8">
        <w:t>T</w:t>
      </w:r>
      <w:r w:rsidRPr="00F04CF8">
        <w:rPr>
          <w:vertAlign w:val="subscript"/>
        </w:rPr>
        <w:t>processing</w:t>
      </w:r>
      <w:r w:rsidRPr="00F04CF8">
        <w:t xml:space="preserve"> </w:t>
      </w:r>
      <w:r w:rsidR="00111935" w:rsidRPr="00F04CF8">
        <w:t xml:space="preserve">in </w:t>
      </w:r>
      <w:r w:rsidRPr="00F04CF8">
        <w:t xml:space="preserve">consists of e.g. </w:t>
      </w:r>
      <w:r w:rsidRPr="00F04CF8">
        <w:rPr>
          <w:lang w:val="en-GB" w:eastAsia="en-GB"/>
        </w:rPr>
        <w:t>MAC/RLC reset, BB retuning and RF retuning and presumably RRC processing.</w:t>
      </w:r>
      <w:r w:rsidRPr="00F04CF8">
        <w:t xml:space="preserve"> In legacy handover scenarios, the value for T</w:t>
      </w:r>
      <w:r w:rsidRPr="00F04CF8">
        <w:rPr>
          <w:vertAlign w:val="subscript"/>
        </w:rPr>
        <w:t>processing</w:t>
      </w:r>
      <w:r w:rsidRPr="00F04CF8">
        <w:t xml:space="preserve"> is 20 ms when source and target cell are in the same frequency range, and the value is 40 ms when source and target cell are in different frequency ranges.</w:t>
      </w:r>
      <w:r w:rsidR="002933C7" w:rsidRPr="00F04CF8">
        <w:t xml:space="preserve"> In LTM, </w:t>
      </w:r>
      <w:r w:rsidR="002A52AD" w:rsidRPr="00F04CF8">
        <w:t xml:space="preserve">usage of </w:t>
      </w:r>
      <w:r w:rsidR="002933C7" w:rsidRPr="00F04CF8">
        <w:t xml:space="preserve">early TA and unified TCI state </w:t>
      </w:r>
      <w:r w:rsidR="002A52AD" w:rsidRPr="00F04CF8">
        <w:t xml:space="preserve">activation either before or at the cell switch </w:t>
      </w:r>
      <w:r w:rsidR="002933C7" w:rsidRPr="00F04CF8">
        <w:t xml:space="preserve">is agreed. As a result, different UE behaviors are expected after receiving MAC-CE cell switch command. </w:t>
      </w:r>
    </w:p>
    <w:p w14:paraId="4788609F" w14:textId="487A7341" w:rsidR="00BB6EE6" w:rsidRPr="00F04CF8" w:rsidRDefault="00BB6EE6" w:rsidP="00BB6EE6">
      <w:r w:rsidRPr="00F04CF8">
        <w:t>As defined by RAN2, the difference in T</w:t>
      </w:r>
      <w:r w:rsidRPr="00F04CF8">
        <w:rPr>
          <w:vertAlign w:val="subscript"/>
        </w:rPr>
        <w:t>processing</w:t>
      </w:r>
      <w:r w:rsidRPr="00F04CF8">
        <w:t xml:space="preserve"> compared to legacy is that part of the processing may happen already after the network has configured the candidate cells to the UE and before the actual cell switch command. Hence, T</w:t>
      </w:r>
      <w:r w:rsidRPr="00F04CF8">
        <w:rPr>
          <w:vertAlign w:val="subscript"/>
        </w:rPr>
        <w:t>processing</w:t>
      </w:r>
      <w:r w:rsidRPr="00F04CF8">
        <w:t xml:space="preserve"> is split into T</w:t>
      </w:r>
      <w:r w:rsidRPr="00F04CF8">
        <w:rPr>
          <w:vertAlign w:val="subscript"/>
        </w:rPr>
        <w:t>processing1</w:t>
      </w:r>
      <w:r w:rsidRPr="00F04CF8">
        <w:t xml:space="preserve"> and T</w:t>
      </w:r>
      <w:r w:rsidRPr="00F04CF8">
        <w:rPr>
          <w:vertAlign w:val="subscript"/>
        </w:rPr>
        <w:t>processing2</w:t>
      </w:r>
      <w:r w:rsidRPr="00F04CF8">
        <w:t xml:space="preserve"> in the RAN2 discussions, where T</w:t>
      </w:r>
      <w:r w:rsidRPr="00F04CF8">
        <w:rPr>
          <w:vertAlign w:val="subscript"/>
        </w:rPr>
        <w:t>processing1</w:t>
      </w:r>
      <w:r w:rsidRPr="00F04CF8">
        <w:t xml:space="preserve"> happens before the cell switch command and T</w:t>
      </w:r>
      <w:r w:rsidRPr="00F04CF8">
        <w:rPr>
          <w:vertAlign w:val="subscript"/>
        </w:rPr>
        <w:t>processing2</w:t>
      </w:r>
      <w:r w:rsidRPr="00F04CF8">
        <w:t xml:space="preserve"> happens after the cell switch command.</w:t>
      </w:r>
    </w:p>
    <w:p w14:paraId="619F640C" w14:textId="7746EC8D" w:rsidR="00BB6EE6" w:rsidRPr="00F04CF8" w:rsidRDefault="00BB6EE6" w:rsidP="00BB6EE6">
      <w:r w:rsidRPr="00F04CF8">
        <w:t>From RAN4 point of view, the LTM HO delay and interruption to be defined only contains the T</w:t>
      </w:r>
      <w:r w:rsidRPr="00F04CF8">
        <w:rPr>
          <w:vertAlign w:val="subscript"/>
        </w:rPr>
        <w:t>processing2</w:t>
      </w:r>
      <w:r w:rsidRPr="00F04CF8">
        <w:t xml:space="preserve"> part i.e. the processing that is done after the cell switch command. As we have proposed in the previous meetings, since LTM is a lower layer procedure, </w:t>
      </w:r>
      <w:r w:rsidRPr="00F04CF8">
        <w:rPr>
          <w:lang w:val="en-GB" w:eastAsia="en-GB"/>
        </w:rPr>
        <w:t>LTM design is different from legacy L3 HO and hence, the processing delay should be captured in T</w:t>
      </w:r>
      <w:r w:rsidRPr="00F04CF8">
        <w:rPr>
          <w:vertAlign w:val="subscript"/>
          <w:lang w:val="en-GB" w:eastAsia="en-GB"/>
        </w:rPr>
        <w:t>LTM-processing</w:t>
      </w:r>
      <w:r w:rsidRPr="00F04CF8">
        <w:rPr>
          <w:lang w:val="en-GB" w:eastAsia="en-GB"/>
        </w:rPr>
        <w:t xml:space="preserve"> instead of T</w:t>
      </w:r>
      <w:r w:rsidRPr="00F04CF8">
        <w:rPr>
          <w:vertAlign w:val="subscript"/>
          <w:lang w:val="en-GB" w:eastAsia="en-GB"/>
        </w:rPr>
        <w:t>processing2</w:t>
      </w:r>
      <w:r w:rsidRPr="00F04CF8">
        <w:t>. Therefore, in the following we refer to this parameter as T</w:t>
      </w:r>
      <w:r w:rsidRPr="00F04CF8">
        <w:rPr>
          <w:vertAlign w:val="subscript"/>
        </w:rPr>
        <w:t>LTM-processing</w:t>
      </w:r>
      <w:r w:rsidRPr="00F04CF8">
        <w:t>.</w:t>
      </w:r>
    </w:p>
    <w:p w14:paraId="3ACE0D61" w14:textId="77777777" w:rsidR="00BB6EE6" w:rsidRPr="00F04CF8" w:rsidRDefault="00BB6EE6" w:rsidP="00BB6EE6">
      <w:pPr>
        <w:rPr>
          <w:lang w:val="en-GB" w:eastAsia="en-GB"/>
        </w:rPr>
      </w:pPr>
      <w:r w:rsidRPr="00F04CF8">
        <w:rPr>
          <w:lang w:val="en-GB" w:eastAsia="en-GB"/>
        </w:rPr>
        <w:t>RAN4 can assume that UE is able to perform at least part of the processing of candidate cell RRC configurations directly upon arrival and prior to cell switch. In some cases, partial RRC loading can be done before the cell switch command. The amount of processing that remains to be done after the cell switch command may depend on the scenario.</w:t>
      </w:r>
    </w:p>
    <w:p w14:paraId="503895AD" w14:textId="77777777" w:rsidR="00612DFF" w:rsidRPr="00F04CF8" w:rsidRDefault="00612DFF" w:rsidP="00CC3077">
      <w:pPr>
        <w:pStyle w:val="RAN4proposal"/>
      </w:pPr>
      <w:bookmarkStart w:id="4" w:name="_Toc135078017"/>
      <w:bookmarkStart w:id="5" w:name="_Toc142661677"/>
      <w:r w:rsidRPr="00F04CF8">
        <w:t>Some of the RRC processing can be done prior to the cell switch command to reduce the cell switch delay. FFS which parts of the processing are done before and after the cell switch command.</w:t>
      </w:r>
      <w:bookmarkEnd w:id="4"/>
      <w:bookmarkEnd w:id="5"/>
    </w:p>
    <w:p w14:paraId="25D2DDA6" w14:textId="77777777" w:rsidR="00612DFF" w:rsidRPr="00F04CF8" w:rsidRDefault="00612DFF" w:rsidP="00612DFF">
      <w:r w:rsidRPr="00F04CF8">
        <w:t>The value of T</w:t>
      </w:r>
      <w:r w:rsidRPr="00F04CF8">
        <w:rPr>
          <w:vertAlign w:val="subscript"/>
        </w:rPr>
        <w:t>LTM-processing</w:t>
      </w:r>
      <w:r w:rsidRPr="00F04CF8">
        <w:t xml:space="preserve"> may depend at least on:</w:t>
      </w:r>
    </w:p>
    <w:p w14:paraId="258DEDF1" w14:textId="77777777" w:rsidR="00612DFF" w:rsidRPr="00F04CF8" w:rsidRDefault="00612DFF" w:rsidP="00CC3077">
      <w:pPr>
        <w:pStyle w:val="ListParagraph"/>
        <w:numPr>
          <w:ilvl w:val="0"/>
          <w:numId w:val="9"/>
        </w:numPr>
        <w:spacing w:after="0" w:line="240" w:lineRule="auto"/>
        <w:jc w:val="left"/>
      </w:pPr>
      <w:r w:rsidRPr="00F04CF8">
        <w:t>Whether the target cell is a current serving cell or a neighbor cell</w:t>
      </w:r>
    </w:p>
    <w:p w14:paraId="50EDF8B6" w14:textId="77777777" w:rsidR="00612DFF" w:rsidRPr="00F04CF8" w:rsidRDefault="00612DFF" w:rsidP="00CC3077">
      <w:pPr>
        <w:pStyle w:val="ListParagraph"/>
        <w:numPr>
          <w:ilvl w:val="0"/>
          <w:numId w:val="9"/>
        </w:numPr>
        <w:spacing w:after="0" w:line="240" w:lineRule="auto"/>
        <w:jc w:val="left"/>
      </w:pPr>
      <w:r w:rsidRPr="00F04CF8">
        <w:t>Frequency range of the source and target cell</w:t>
      </w:r>
    </w:p>
    <w:p w14:paraId="328A89F1" w14:textId="64A07AAD" w:rsidR="00612DFF" w:rsidRPr="00F04CF8" w:rsidRDefault="00612DFF" w:rsidP="00CC3077">
      <w:pPr>
        <w:pStyle w:val="ListParagraph"/>
        <w:numPr>
          <w:ilvl w:val="0"/>
          <w:numId w:val="9"/>
        </w:numPr>
        <w:spacing w:after="0" w:line="240" w:lineRule="auto"/>
        <w:jc w:val="left"/>
      </w:pPr>
      <w:r w:rsidRPr="00F04CF8">
        <w:t>Whether the UE has performed DL/UL synchronization before the cell switch command</w:t>
      </w:r>
    </w:p>
    <w:p w14:paraId="636FD286" w14:textId="77777777" w:rsidR="00A2329E" w:rsidRPr="00F04CF8" w:rsidRDefault="00A2329E" w:rsidP="00D13ABE">
      <w:pPr>
        <w:spacing w:after="0" w:line="240" w:lineRule="auto"/>
        <w:jc w:val="left"/>
      </w:pPr>
    </w:p>
    <w:p w14:paraId="07DAAD7C" w14:textId="4E85A8E1" w:rsidR="00612DFF" w:rsidRPr="00F04CF8" w:rsidRDefault="00612DFF" w:rsidP="00612DFF">
      <w:r w:rsidRPr="00F04CF8">
        <w:t>In our view, when the target cell is a current serving cell, the overall delay can be very short and T</w:t>
      </w:r>
      <w:r w:rsidRPr="00F04CF8">
        <w:rPr>
          <w:vertAlign w:val="subscript"/>
        </w:rPr>
        <w:t>LTM-processing</w:t>
      </w:r>
      <w:r w:rsidRPr="00F04CF8">
        <w:t xml:space="preserve"> can be zero.</w:t>
      </w:r>
    </w:p>
    <w:p w14:paraId="355B58E9" w14:textId="3A465C0F" w:rsidR="002933C7" w:rsidRPr="002933C7" w:rsidRDefault="00664659" w:rsidP="00F04CF8">
      <w:pPr>
        <w:pStyle w:val="RAN4proposal"/>
      </w:pPr>
      <w:bookmarkStart w:id="6" w:name="_Toc135078018"/>
      <w:bookmarkStart w:id="7" w:name="_Toc142661678"/>
      <w:r w:rsidRPr="00F04CF8">
        <w:lastRenderedPageBreak/>
        <w:t>When the target cell is a current serving cell, T</w:t>
      </w:r>
      <w:r w:rsidRPr="00131661">
        <w:rPr>
          <w:vertAlign w:val="subscript"/>
        </w:rPr>
        <w:t>LTM-processing</w:t>
      </w:r>
      <w:r w:rsidRPr="00F04CF8">
        <w:t xml:space="preserve"> = 0.</w:t>
      </w:r>
      <w:bookmarkStart w:id="8" w:name="_Toc142661148"/>
      <w:bookmarkStart w:id="9" w:name="_Toc142661318"/>
      <w:bookmarkStart w:id="10" w:name="_Toc142661397"/>
      <w:bookmarkStart w:id="11" w:name="_Toc142661149"/>
      <w:bookmarkStart w:id="12" w:name="_Toc142661319"/>
      <w:bookmarkStart w:id="13" w:name="_Toc142661398"/>
      <w:bookmarkStart w:id="14" w:name="_Toc142661150"/>
      <w:bookmarkStart w:id="15" w:name="_Toc142661320"/>
      <w:bookmarkStart w:id="16" w:name="_Toc142661399"/>
      <w:bookmarkStart w:id="17" w:name="_Toc142661151"/>
      <w:bookmarkStart w:id="18" w:name="_Toc142661321"/>
      <w:bookmarkStart w:id="19" w:name="_Toc142661400"/>
      <w:bookmarkEnd w:id="6"/>
      <w:bookmarkEnd w:id="7"/>
      <w:bookmarkEnd w:id="8"/>
      <w:bookmarkEnd w:id="9"/>
      <w:bookmarkEnd w:id="10"/>
      <w:bookmarkEnd w:id="11"/>
      <w:bookmarkEnd w:id="12"/>
      <w:bookmarkEnd w:id="13"/>
      <w:bookmarkEnd w:id="14"/>
      <w:bookmarkEnd w:id="15"/>
      <w:bookmarkEnd w:id="16"/>
      <w:bookmarkEnd w:id="17"/>
      <w:bookmarkEnd w:id="18"/>
      <w:bookmarkEnd w:id="19"/>
    </w:p>
    <w:p w14:paraId="5EEE5AD7" w14:textId="77777777" w:rsidR="00664659" w:rsidRPr="00916E30" w:rsidRDefault="00664659" w:rsidP="00CC3077">
      <w:pPr>
        <w:pStyle w:val="RAN4H3"/>
      </w:pPr>
      <w:r w:rsidRPr="00916E30">
        <w:t>T</w:t>
      </w:r>
      <w:r w:rsidRPr="00916E30">
        <w:rPr>
          <w:vertAlign w:val="subscript"/>
        </w:rPr>
        <w:t>search</w:t>
      </w:r>
    </w:p>
    <w:p w14:paraId="56F9DB0E" w14:textId="1B30F18A" w:rsidR="00664659" w:rsidRPr="00916E30" w:rsidRDefault="00664659" w:rsidP="00664659">
      <w:pPr>
        <w:rPr>
          <w:szCs w:val="20"/>
        </w:rPr>
      </w:pPr>
      <w:r w:rsidRPr="00916E30">
        <w:rPr>
          <w:szCs w:val="20"/>
        </w:rPr>
        <w:t>The definition of T</w:t>
      </w:r>
      <w:r w:rsidRPr="00916E30">
        <w:rPr>
          <w:szCs w:val="20"/>
          <w:vertAlign w:val="subscript"/>
        </w:rPr>
        <w:t>search</w:t>
      </w:r>
      <w:r w:rsidRPr="00916E30">
        <w:rPr>
          <w:szCs w:val="20"/>
        </w:rPr>
        <w:t xml:space="preserve"> in legacy </w:t>
      </w:r>
      <w:r w:rsidR="001D7B40">
        <w:rPr>
          <w:szCs w:val="20"/>
        </w:rPr>
        <w:t xml:space="preserve">L3 </w:t>
      </w:r>
      <w:r w:rsidRPr="00916E30">
        <w:rPr>
          <w:szCs w:val="20"/>
        </w:rPr>
        <w:t>handover is:</w:t>
      </w:r>
    </w:p>
    <w:p w14:paraId="4C85FCDB" w14:textId="7D7F1F5C" w:rsidR="00664659" w:rsidRPr="00916E30" w:rsidRDefault="00664659" w:rsidP="00CC3077">
      <w:pPr>
        <w:pStyle w:val="ListParagraph"/>
        <w:numPr>
          <w:ilvl w:val="0"/>
          <w:numId w:val="9"/>
        </w:numPr>
        <w:spacing w:after="0" w:line="240" w:lineRule="auto"/>
        <w:jc w:val="left"/>
        <w:rPr>
          <w:szCs w:val="20"/>
        </w:rPr>
      </w:pPr>
      <w:r w:rsidRPr="00916E30">
        <w:rPr>
          <w:i/>
          <w:iCs/>
          <w:szCs w:val="20"/>
        </w:rPr>
        <w:t>T</w:t>
      </w:r>
      <w:r w:rsidRPr="00916E30">
        <w:rPr>
          <w:i/>
          <w:iCs/>
          <w:szCs w:val="20"/>
          <w:vertAlign w:val="subscript"/>
        </w:rPr>
        <w:t>search</w:t>
      </w:r>
      <w:r w:rsidRPr="00916E30">
        <w:rPr>
          <w:i/>
          <w:iCs/>
          <w:szCs w:val="20"/>
        </w:rPr>
        <w:t xml:space="preserve"> is the time required to search the target cell when the target cell is not already known when the handover command is received by the UE.</w:t>
      </w:r>
    </w:p>
    <w:p w14:paraId="0EBAC303" w14:textId="77777777" w:rsidR="00916E30" w:rsidRDefault="00916E30" w:rsidP="00664659">
      <w:pPr>
        <w:rPr>
          <w:szCs w:val="20"/>
        </w:rPr>
      </w:pPr>
    </w:p>
    <w:p w14:paraId="4D00AF5B" w14:textId="50E36558" w:rsidR="00916E30" w:rsidRDefault="00916E30" w:rsidP="00664659">
      <w:pPr>
        <w:rPr>
          <w:szCs w:val="20"/>
        </w:rPr>
      </w:pPr>
      <w:r>
        <w:rPr>
          <w:szCs w:val="20"/>
        </w:rPr>
        <w:t>In the RAN4#108 meeting</w:t>
      </w:r>
      <w:r w:rsidR="00CC6812">
        <w:rPr>
          <w:szCs w:val="20"/>
        </w:rPr>
        <w:t xml:space="preserve"> it was agreed not to define LTM cell switch requirements to an unknown target cell:</w:t>
      </w:r>
    </w:p>
    <w:tbl>
      <w:tblPr>
        <w:tblStyle w:val="TableGrid"/>
        <w:tblW w:w="0" w:type="auto"/>
        <w:tblLook w:val="04A0" w:firstRow="1" w:lastRow="0" w:firstColumn="1" w:lastColumn="0" w:noHBand="0" w:noVBand="1"/>
      </w:tblPr>
      <w:tblGrid>
        <w:gridCol w:w="9617"/>
      </w:tblGrid>
      <w:tr w:rsidR="00CC6812" w14:paraId="480AAB89" w14:textId="77777777" w:rsidTr="00CC6812">
        <w:tc>
          <w:tcPr>
            <w:tcW w:w="9617" w:type="dxa"/>
          </w:tcPr>
          <w:p w14:paraId="4C352122" w14:textId="4AFC0B7C" w:rsidR="00CC6812" w:rsidRPr="00CC6812" w:rsidRDefault="00CC6812" w:rsidP="00CC6812">
            <w:pPr>
              <w:spacing w:after="120"/>
              <w:jc w:val="left"/>
              <w:rPr>
                <w:rFonts w:eastAsia="Times New Roman" w:cs="Times New Roman"/>
                <w:szCs w:val="20"/>
                <w:lang w:val="en-GB"/>
              </w:rPr>
            </w:pPr>
            <w:r w:rsidRPr="00CC6812">
              <w:rPr>
                <w:rFonts w:eastAsia="Times New Roman" w:cs="Times New Roman"/>
                <w:b/>
                <w:bCs/>
                <w:szCs w:val="20"/>
                <w:u w:val="single"/>
                <w:lang w:val="en-GB"/>
              </w:rPr>
              <w:t>Issue 3-3-3-1: Whether to define RACH-based cell switch delay requirements for unknown cell</w:t>
            </w:r>
          </w:p>
          <w:p w14:paraId="47EC843B" w14:textId="363BDCA5" w:rsidR="00CC6812" w:rsidRPr="00CC6812" w:rsidRDefault="00CC6812" w:rsidP="00CC6812">
            <w:pPr>
              <w:spacing w:after="180"/>
              <w:jc w:val="left"/>
              <w:rPr>
                <w:rFonts w:eastAsia="Times New Roman" w:cs="Times New Roman"/>
                <w:szCs w:val="20"/>
                <w:lang w:val="en-GB"/>
              </w:rPr>
            </w:pPr>
            <w:r w:rsidRPr="00CC6812">
              <w:rPr>
                <w:rFonts w:eastAsia="Times New Roman" w:cs="Times New Roman"/>
                <w:b/>
                <w:bCs/>
                <w:szCs w:val="20"/>
                <w:lang w:val="en-GB"/>
              </w:rPr>
              <w:t>&lt; Agreement &gt;</w:t>
            </w:r>
            <w:r w:rsidRPr="00CC6812">
              <w:rPr>
                <w:rFonts w:eastAsia="Times New Roman" w:cs="Times New Roman"/>
                <w:szCs w:val="20"/>
                <w:lang w:val="en-GB"/>
              </w:rPr>
              <w:t xml:space="preserve">: </w:t>
            </w:r>
          </w:p>
          <w:p w14:paraId="5799B5E8" w14:textId="77777777" w:rsidR="00CC6812" w:rsidRPr="00CC6812" w:rsidRDefault="00CC6812" w:rsidP="00CC3077">
            <w:pPr>
              <w:numPr>
                <w:ilvl w:val="0"/>
                <w:numId w:val="18"/>
              </w:numPr>
              <w:spacing w:after="120"/>
              <w:jc w:val="left"/>
              <w:textAlignment w:val="center"/>
              <w:rPr>
                <w:rFonts w:ascii="Calibri" w:eastAsia="Times New Roman" w:hAnsi="Calibri" w:cs="Calibri"/>
                <w:sz w:val="22"/>
                <w:lang w:val="en-GB"/>
              </w:rPr>
            </w:pPr>
            <w:r w:rsidRPr="00CC6812">
              <w:rPr>
                <w:rFonts w:eastAsia="Times New Roman" w:cs="Times New Roman"/>
                <w:szCs w:val="20"/>
                <w:highlight w:val="green"/>
                <w:lang w:val="en-GB"/>
              </w:rPr>
              <w:t>Not define RACH-based cell switch delay requirements for unknown cell case, at least in R18.</w:t>
            </w:r>
          </w:p>
          <w:p w14:paraId="3EE46364" w14:textId="77777777" w:rsidR="00CC6812" w:rsidRPr="00CC6812" w:rsidRDefault="00CC6812" w:rsidP="00CC6812">
            <w:pPr>
              <w:spacing w:after="120"/>
              <w:jc w:val="left"/>
              <w:rPr>
                <w:rFonts w:eastAsia="Times New Roman" w:cs="Times New Roman"/>
                <w:szCs w:val="20"/>
                <w:lang w:val="en-GB"/>
              </w:rPr>
            </w:pPr>
            <w:r w:rsidRPr="00CC6812">
              <w:rPr>
                <w:rFonts w:eastAsia="Times New Roman" w:cs="Times New Roman"/>
                <w:szCs w:val="20"/>
                <w:lang w:val="en-GB"/>
              </w:rPr>
              <w:t> </w:t>
            </w:r>
          </w:p>
          <w:p w14:paraId="722BB2FB" w14:textId="55870794" w:rsidR="00CC6812" w:rsidRPr="00CC6812" w:rsidRDefault="00CC6812" w:rsidP="00CC6812">
            <w:pPr>
              <w:spacing w:after="120"/>
              <w:jc w:val="left"/>
              <w:rPr>
                <w:rFonts w:eastAsia="Times New Roman" w:cs="Times New Roman"/>
                <w:szCs w:val="20"/>
                <w:lang w:val="en-GB"/>
              </w:rPr>
            </w:pPr>
            <w:r w:rsidRPr="00CC6812">
              <w:rPr>
                <w:rFonts w:eastAsia="Times New Roman" w:cs="Times New Roman"/>
                <w:b/>
                <w:bCs/>
                <w:szCs w:val="20"/>
                <w:u w:val="single"/>
                <w:lang w:val="en-GB"/>
              </w:rPr>
              <w:t>Issue 3-3-3-2: Whether to define RACH-less cell switch delay requirements for unknown cell</w:t>
            </w:r>
          </w:p>
          <w:p w14:paraId="117E2AC4" w14:textId="77777777" w:rsidR="00CC6812" w:rsidRPr="00CC6812" w:rsidRDefault="00CC6812" w:rsidP="00CC6812">
            <w:pPr>
              <w:spacing w:after="180"/>
              <w:jc w:val="left"/>
              <w:rPr>
                <w:rFonts w:eastAsia="Times New Roman" w:cs="Times New Roman"/>
                <w:szCs w:val="20"/>
                <w:lang w:val="en-GB"/>
              </w:rPr>
            </w:pPr>
            <w:r w:rsidRPr="00CC6812">
              <w:rPr>
                <w:rFonts w:eastAsia="Times New Roman" w:cs="Times New Roman"/>
                <w:b/>
                <w:bCs/>
                <w:szCs w:val="20"/>
                <w:lang w:val="en-GB"/>
              </w:rPr>
              <w:t>&lt; Agreement&gt;</w:t>
            </w:r>
            <w:r w:rsidRPr="00CC6812">
              <w:rPr>
                <w:rFonts w:eastAsia="Times New Roman" w:cs="Times New Roman"/>
                <w:szCs w:val="20"/>
                <w:lang w:val="en-GB"/>
              </w:rPr>
              <w:t xml:space="preserve">: </w:t>
            </w:r>
          </w:p>
          <w:p w14:paraId="303B641E" w14:textId="77777777" w:rsidR="00CC6812" w:rsidRPr="00CC6812" w:rsidRDefault="00CC6812" w:rsidP="00CC3077">
            <w:pPr>
              <w:numPr>
                <w:ilvl w:val="0"/>
                <w:numId w:val="19"/>
              </w:numPr>
              <w:spacing w:after="120"/>
              <w:jc w:val="left"/>
              <w:textAlignment w:val="center"/>
              <w:rPr>
                <w:rFonts w:ascii="Calibri" w:eastAsia="Times New Roman" w:hAnsi="Calibri" w:cs="Calibri"/>
                <w:sz w:val="22"/>
                <w:lang w:val="en-GB"/>
              </w:rPr>
            </w:pPr>
            <w:r w:rsidRPr="00CC6812">
              <w:rPr>
                <w:rFonts w:eastAsia="Times New Roman" w:cs="Times New Roman"/>
                <w:szCs w:val="20"/>
                <w:highlight w:val="green"/>
                <w:lang w:val="en-GB"/>
              </w:rPr>
              <w:t xml:space="preserve">Not define RACH-less cell switch delay requirements for unknown cell case, at least in R18. </w:t>
            </w:r>
          </w:p>
          <w:p w14:paraId="46FBE19A" w14:textId="77777777" w:rsidR="00CC6812" w:rsidRDefault="00CC6812" w:rsidP="00664659">
            <w:pPr>
              <w:rPr>
                <w:szCs w:val="20"/>
              </w:rPr>
            </w:pPr>
          </w:p>
        </w:tc>
      </w:tr>
    </w:tbl>
    <w:p w14:paraId="68774D4C" w14:textId="77777777" w:rsidR="00916E30" w:rsidRDefault="00916E30" w:rsidP="00664659">
      <w:pPr>
        <w:rPr>
          <w:szCs w:val="20"/>
        </w:rPr>
      </w:pPr>
    </w:p>
    <w:p w14:paraId="48707D6A" w14:textId="38468956" w:rsidR="00664659" w:rsidRDefault="00664659" w:rsidP="00664659">
      <w:pPr>
        <w:rPr>
          <w:szCs w:val="20"/>
        </w:rPr>
      </w:pPr>
      <w:r w:rsidRPr="00916E30">
        <w:rPr>
          <w:szCs w:val="20"/>
        </w:rPr>
        <w:t>The value of T</w:t>
      </w:r>
      <w:r w:rsidRPr="00916E30">
        <w:rPr>
          <w:szCs w:val="20"/>
          <w:vertAlign w:val="subscript"/>
        </w:rPr>
        <w:t>search</w:t>
      </w:r>
      <w:r w:rsidRPr="00916E30">
        <w:rPr>
          <w:szCs w:val="20"/>
        </w:rPr>
        <w:t xml:space="preserve"> in legacy HO delay is zero when the target cell is known. RAN4 has not yet agreed the known cell condition for LTM HO. </w:t>
      </w:r>
      <w:r w:rsidR="00BA5CC5">
        <w:rPr>
          <w:szCs w:val="20"/>
        </w:rPr>
        <w:t xml:space="preserve">However, </w:t>
      </w:r>
      <w:r w:rsidR="00B94BD6">
        <w:rPr>
          <w:szCs w:val="20"/>
        </w:rPr>
        <w:t>if the legacy definition of T</w:t>
      </w:r>
      <w:r w:rsidR="00B94BD6" w:rsidRPr="00CD6079">
        <w:rPr>
          <w:szCs w:val="20"/>
          <w:vertAlign w:val="subscript"/>
        </w:rPr>
        <w:t>search</w:t>
      </w:r>
      <w:r w:rsidR="00B94BD6">
        <w:rPr>
          <w:szCs w:val="20"/>
        </w:rPr>
        <w:t xml:space="preserve"> is followed, the value for T</w:t>
      </w:r>
      <w:r w:rsidR="00B94BD6" w:rsidRPr="00CD6079">
        <w:rPr>
          <w:szCs w:val="20"/>
          <w:vertAlign w:val="subscript"/>
        </w:rPr>
        <w:t>search</w:t>
      </w:r>
      <w:r w:rsidR="00B94BD6">
        <w:rPr>
          <w:szCs w:val="20"/>
        </w:rPr>
        <w:t xml:space="preserve"> equals to zero when the target cell is known. Therefore, </w:t>
      </w:r>
      <w:r w:rsidR="00F10385">
        <w:rPr>
          <w:szCs w:val="20"/>
        </w:rPr>
        <w:t xml:space="preserve">since </w:t>
      </w:r>
      <w:r w:rsidR="00B94BD6">
        <w:rPr>
          <w:szCs w:val="20"/>
        </w:rPr>
        <w:t xml:space="preserve">the requirements in Rel-18 are only defined for </w:t>
      </w:r>
      <w:r w:rsidR="00CD6079">
        <w:rPr>
          <w:szCs w:val="20"/>
        </w:rPr>
        <w:t xml:space="preserve">the known cell case, the </w:t>
      </w:r>
      <w:r w:rsidR="000F4EA8">
        <w:rPr>
          <w:szCs w:val="20"/>
        </w:rPr>
        <w:t>value for T</w:t>
      </w:r>
      <w:r w:rsidR="000F4EA8" w:rsidRPr="00CD6079">
        <w:rPr>
          <w:szCs w:val="20"/>
          <w:vertAlign w:val="subscript"/>
        </w:rPr>
        <w:t>search</w:t>
      </w:r>
      <w:r w:rsidR="000F4EA8">
        <w:rPr>
          <w:szCs w:val="20"/>
        </w:rPr>
        <w:t xml:space="preserve"> is always zero, </w:t>
      </w:r>
      <w:r w:rsidR="00AA2F6C">
        <w:rPr>
          <w:szCs w:val="20"/>
        </w:rPr>
        <w:t>and</w:t>
      </w:r>
      <w:r w:rsidR="000F4EA8">
        <w:rPr>
          <w:szCs w:val="20"/>
        </w:rPr>
        <w:t xml:space="preserve"> the </w:t>
      </w:r>
      <w:r w:rsidR="00CD6079">
        <w:rPr>
          <w:szCs w:val="20"/>
        </w:rPr>
        <w:t>parameter is not needed in the cell switch delay in Rel-18.</w:t>
      </w:r>
    </w:p>
    <w:p w14:paraId="11B89B3C" w14:textId="15B5540A" w:rsidR="00CD6079" w:rsidRDefault="00CD6079" w:rsidP="00CC3077">
      <w:pPr>
        <w:pStyle w:val="RAN4proposal"/>
      </w:pPr>
      <w:bookmarkStart w:id="20" w:name="_Toc142661679"/>
      <w:r>
        <w:t>In Rel-18</w:t>
      </w:r>
      <w:r w:rsidR="0018563C">
        <w:t xml:space="preserve">, </w:t>
      </w:r>
      <w:r w:rsidR="0069573C">
        <w:t xml:space="preserve">because </w:t>
      </w:r>
      <w:r w:rsidR="0018563C">
        <w:t xml:space="preserve">RAN4 agreed to define requirements </w:t>
      </w:r>
      <w:r w:rsidR="00D412AF">
        <w:t xml:space="preserve">only </w:t>
      </w:r>
      <w:r w:rsidR="0069573C">
        <w:t>for a known target cell</w:t>
      </w:r>
      <w:r w:rsidR="00BD0004">
        <w:t>, the value for T</w:t>
      </w:r>
      <w:r w:rsidR="00BD0004" w:rsidRPr="00BD0004">
        <w:rPr>
          <w:vertAlign w:val="subscript"/>
        </w:rPr>
        <w:t>search</w:t>
      </w:r>
      <w:r w:rsidR="00BD0004">
        <w:t xml:space="preserve"> is always zero</w:t>
      </w:r>
      <w:r w:rsidR="00A47193">
        <w:t xml:space="preserve">. </w:t>
      </w:r>
      <w:r w:rsidR="00D56A13">
        <w:t>Hence</w:t>
      </w:r>
      <w:r w:rsidR="00A47193">
        <w:t xml:space="preserve">, </w:t>
      </w:r>
      <w:r w:rsidR="004C5498">
        <w:t>do not include T</w:t>
      </w:r>
      <w:r w:rsidR="004C5498" w:rsidRPr="00BD0004">
        <w:rPr>
          <w:vertAlign w:val="subscript"/>
        </w:rPr>
        <w:t>search</w:t>
      </w:r>
      <w:r w:rsidR="00695F77">
        <w:t xml:space="preserve"> </w:t>
      </w:r>
      <w:r w:rsidR="004C5498">
        <w:t>in the</w:t>
      </w:r>
      <w:r w:rsidR="00BD0004">
        <w:t xml:space="preserve"> </w:t>
      </w:r>
      <w:r w:rsidR="00D412AF">
        <w:t xml:space="preserve">LTM cell switch </w:t>
      </w:r>
      <w:r w:rsidR="00BD0004">
        <w:t>delay equation.</w:t>
      </w:r>
      <w:bookmarkEnd w:id="20"/>
    </w:p>
    <w:p w14:paraId="7361E405" w14:textId="77777777" w:rsidR="00B94BD6" w:rsidRPr="00916E30" w:rsidRDefault="00B94BD6" w:rsidP="00664659">
      <w:pPr>
        <w:rPr>
          <w:szCs w:val="20"/>
        </w:rPr>
      </w:pPr>
    </w:p>
    <w:p w14:paraId="37A41ADC" w14:textId="77777777" w:rsidR="00664659" w:rsidRPr="004F1FFB" w:rsidRDefault="00664659" w:rsidP="004F1FFB">
      <w:pPr>
        <w:pStyle w:val="RAN4H3"/>
      </w:pPr>
      <w:r w:rsidRPr="004F1FFB">
        <w:t>T</w:t>
      </w:r>
      <w:r w:rsidRPr="004F1FFB">
        <w:rPr>
          <w:vertAlign w:val="subscript"/>
        </w:rPr>
        <w:t>Δ</w:t>
      </w:r>
      <w:r w:rsidRPr="004F1FFB">
        <w:t xml:space="preserve"> and T</w:t>
      </w:r>
      <w:r w:rsidRPr="004F1FFB">
        <w:rPr>
          <w:vertAlign w:val="subscript"/>
        </w:rPr>
        <w:t>margin</w:t>
      </w:r>
    </w:p>
    <w:p w14:paraId="0255BEBE" w14:textId="2C7CD993" w:rsidR="00664659" w:rsidRPr="00097228" w:rsidRDefault="00664659" w:rsidP="00664659">
      <w:pPr>
        <w:rPr>
          <w:lang w:val="en-GB"/>
        </w:rPr>
      </w:pPr>
      <w:r w:rsidRPr="00097228">
        <w:rPr>
          <w:lang w:val="en-GB"/>
        </w:rPr>
        <w:t xml:space="preserve">For L3 handover in section 6.1 of 38.133, </w:t>
      </w:r>
      <w:r w:rsidRPr="00097228">
        <w:t>T</w:t>
      </w:r>
      <w:r w:rsidRPr="00097228">
        <w:rPr>
          <w:vertAlign w:val="subscript"/>
        </w:rPr>
        <w:t>∆</w:t>
      </w:r>
      <w:r w:rsidRPr="00097228">
        <w:t xml:space="preserve"> and </w:t>
      </w:r>
      <w:r w:rsidRPr="00097228">
        <w:rPr>
          <w:lang w:eastAsia="zh-CN"/>
        </w:rPr>
        <w:t>T</w:t>
      </w:r>
      <w:r w:rsidRPr="00097228">
        <w:rPr>
          <w:vertAlign w:val="subscript"/>
          <w:lang w:eastAsia="zh-CN"/>
        </w:rPr>
        <w:t>margin</w:t>
      </w:r>
      <w:r w:rsidRPr="00097228">
        <w:rPr>
          <w:lang w:val="en-GB"/>
        </w:rPr>
        <w:t xml:space="preserve"> are defined as:</w:t>
      </w:r>
    </w:p>
    <w:p w14:paraId="2E833CB1" w14:textId="77777777" w:rsidR="00664659" w:rsidRPr="00097228" w:rsidRDefault="00664659" w:rsidP="00CC3077">
      <w:pPr>
        <w:pStyle w:val="B1"/>
        <w:numPr>
          <w:ilvl w:val="0"/>
          <w:numId w:val="10"/>
        </w:numPr>
        <w:rPr>
          <w:i/>
          <w:iCs/>
        </w:rPr>
      </w:pPr>
      <w:bookmarkStart w:id="21" w:name="_Hlk138929953"/>
      <w:r w:rsidRPr="00097228">
        <w:rPr>
          <w:i/>
          <w:iCs/>
        </w:rPr>
        <w:t>T</w:t>
      </w:r>
      <w:r w:rsidRPr="00097228">
        <w:rPr>
          <w:i/>
          <w:iCs/>
          <w:vertAlign w:val="subscript"/>
        </w:rPr>
        <w:t>∆</w:t>
      </w:r>
      <w:r w:rsidRPr="00097228">
        <w:rPr>
          <w:i/>
          <w:iCs/>
        </w:rPr>
        <w:t xml:space="preserve"> </w:t>
      </w:r>
      <w:bookmarkEnd w:id="21"/>
      <w:r w:rsidRPr="00097228">
        <w:rPr>
          <w:i/>
          <w:iCs/>
        </w:rPr>
        <w:t>is time for fine time tracking and acquiring full timing information of the target cell. T</w:t>
      </w:r>
      <w:r w:rsidRPr="00097228">
        <w:rPr>
          <w:i/>
          <w:iCs/>
          <w:vertAlign w:val="subscript"/>
        </w:rPr>
        <w:t>∆</w:t>
      </w:r>
      <w:r w:rsidRPr="00097228">
        <w:rPr>
          <w:i/>
          <w:iCs/>
        </w:rPr>
        <w:t xml:space="preserve"> = T</w:t>
      </w:r>
      <w:r w:rsidRPr="00097228">
        <w:rPr>
          <w:i/>
          <w:iCs/>
          <w:vertAlign w:val="subscript"/>
        </w:rPr>
        <w:t xml:space="preserve">rs </w:t>
      </w:r>
      <w:r w:rsidRPr="00097228">
        <w:rPr>
          <w:i/>
          <w:iCs/>
        </w:rPr>
        <w:t>for both known and unknown target cell.</w:t>
      </w:r>
    </w:p>
    <w:p w14:paraId="48F53CB4" w14:textId="73FB6F94" w:rsidR="00794282" w:rsidRPr="00097228" w:rsidRDefault="00794282" w:rsidP="00794282">
      <w:pPr>
        <w:pStyle w:val="B1"/>
        <w:numPr>
          <w:ilvl w:val="1"/>
          <w:numId w:val="10"/>
        </w:numPr>
        <w:rPr>
          <w:i/>
          <w:iCs/>
        </w:rPr>
      </w:pPr>
      <w:r w:rsidRPr="00097228">
        <w:rPr>
          <w:i/>
          <w:iCs/>
        </w:rPr>
        <w:t>T</w:t>
      </w:r>
      <w:r w:rsidRPr="00097228">
        <w:rPr>
          <w:i/>
          <w:iCs/>
          <w:vertAlign w:val="subscript"/>
        </w:rPr>
        <w:t>rs</w:t>
      </w:r>
      <w:r w:rsidRPr="00097228">
        <w:rPr>
          <w:i/>
          <w:iCs/>
        </w:rPr>
        <w:t xml:space="preserve"> is the SMTC periodicity of the target NR cell if the UE has been provided with an SMTC configuration for the target cell</w:t>
      </w:r>
      <w:r w:rsidR="007A2D63" w:rsidRPr="00097228">
        <w:rPr>
          <w:i/>
          <w:iCs/>
        </w:rPr>
        <w:t xml:space="preserve"> </w:t>
      </w:r>
      <w:r w:rsidRPr="00097228">
        <w:rPr>
          <w:i/>
          <w:iCs/>
        </w:rPr>
        <w:t>in the handover command, otherwise Trs is the SMTC configured in the measObjectNR having the same SSB frequency and subcarrier spacing. If the measObjectNRs having the same SSB frequency and subcarrier spacing configured by MN and SN have different SMTC, T</w:t>
      </w:r>
      <w:r w:rsidRPr="00097228">
        <w:rPr>
          <w:i/>
          <w:iCs/>
          <w:vertAlign w:val="subscript"/>
        </w:rPr>
        <w:t>rs</w:t>
      </w:r>
      <w:r w:rsidRPr="00097228">
        <w:rPr>
          <w:i/>
          <w:iCs/>
        </w:rPr>
        <w:t xml:space="preserve"> is the periodicity of one of the SMTC which is up to UE implementation. If the UE is not provided SMTC configuration or measurement object on this frequency, the requirement in this clause is applied with T</w:t>
      </w:r>
      <w:r w:rsidRPr="00097228">
        <w:rPr>
          <w:i/>
          <w:iCs/>
          <w:vertAlign w:val="subscript"/>
        </w:rPr>
        <w:t>rs</w:t>
      </w:r>
      <w:r w:rsidRPr="00097228">
        <w:rPr>
          <w:i/>
          <w:iCs/>
        </w:rPr>
        <w:t>=5ms assuming the SSB transmission periodicity is 5ms. There is no requirement if the SSB transmission periodicity is not 5ms. If the UE has been provided with higher layer in TS 38.331 [2] signaling of smtc2</w:t>
      </w:r>
      <w:r w:rsidRPr="00097228">
        <w:rPr>
          <w:b/>
          <w:i/>
          <w:iCs/>
        </w:rPr>
        <w:t xml:space="preserve"> </w:t>
      </w:r>
      <w:r w:rsidRPr="00097228">
        <w:rPr>
          <w:i/>
          <w:iCs/>
        </w:rPr>
        <w:t>prior to the handover command, T</w:t>
      </w:r>
      <w:r w:rsidRPr="00097228">
        <w:rPr>
          <w:i/>
          <w:iCs/>
          <w:vertAlign w:val="subscript"/>
        </w:rPr>
        <w:t>rs</w:t>
      </w:r>
      <w:r w:rsidRPr="00097228">
        <w:rPr>
          <w:i/>
          <w:iCs/>
        </w:rPr>
        <w:t xml:space="preserve"> follows smtc1 or smtc2 according to the physical cell ID of the target cell.</w:t>
      </w:r>
    </w:p>
    <w:p w14:paraId="7BBC1895" w14:textId="77777777" w:rsidR="00664659" w:rsidRPr="00097228" w:rsidRDefault="00664659" w:rsidP="00CC3077">
      <w:pPr>
        <w:pStyle w:val="B1"/>
        <w:numPr>
          <w:ilvl w:val="0"/>
          <w:numId w:val="10"/>
        </w:numPr>
        <w:rPr>
          <w:i/>
          <w:iCs/>
        </w:rPr>
      </w:pPr>
      <w:r w:rsidRPr="00097228">
        <w:rPr>
          <w:i/>
          <w:iCs/>
          <w:lang w:eastAsia="zh-CN"/>
        </w:rPr>
        <w:t>T</w:t>
      </w:r>
      <w:r w:rsidRPr="00097228">
        <w:rPr>
          <w:i/>
          <w:iCs/>
          <w:vertAlign w:val="subscript"/>
          <w:lang w:eastAsia="zh-CN"/>
        </w:rPr>
        <w:t xml:space="preserve">margin </w:t>
      </w:r>
      <w:r w:rsidRPr="00097228">
        <w:rPr>
          <w:i/>
          <w:iCs/>
          <w:lang w:eastAsia="zh-CN"/>
        </w:rPr>
        <w:t>is time for SSB post-processing. T</w:t>
      </w:r>
      <w:r w:rsidRPr="00097228">
        <w:rPr>
          <w:i/>
          <w:iCs/>
          <w:vertAlign w:val="subscript"/>
          <w:lang w:eastAsia="zh-CN"/>
        </w:rPr>
        <w:t xml:space="preserve">margin </w:t>
      </w:r>
      <w:r w:rsidRPr="00097228">
        <w:rPr>
          <w:i/>
          <w:iCs/>
          <w:lang w:eastAsia="zh-CN"/>
        </w:rPr>
        <w:t>can be up to 2ms.</w:t>
      </w:r>
    </w:p>
    <w:p w14:paraId="5176E8D2" w14:textId="43BC7B7B" w:rsidR="00B90576" w:rsidRPr="00F04CF8" w:rsidRDefault="00B90576" w:rsidP="000D12DA">
      <w:pPr>
        <w:pStyle w:val="CommentText"/>
      </w:pPr>
      <w:bookmarkStart w:id="22" w:name="_Hlk141962484"/>
      <w:r w:rsidRPr="00F04CF8">
        <w:t>T</w:t>
      </w:r>
      <w:r w:rsidRPr="00F04CF8">
        <w:rPr>
          <w:vertAlign w:val="subscript"/>
        </w:rPr>
        <w:t>∆</w:t>
      </w:r>
      <w:r w:rsidRPr="00F04CF8">
        <w:t xml:space="preserve"> and T</w:t>
      </w:r>
      <w:r w:rsidRPr="00F04CF8">
        <w:rPr>
          <w:vertAlign w:val="subscript"/>
        </w:rPr>
        <w:t>margin</w:t>
      </w:r>
      <w:r w:rsidRPr="00F04CF8">
        <w:t xml:space="preserve"> </w:t>
      </w:r>
      <w:bookmarkEnd w:id="22"/>
      <w:r w:rsidR="009B4127" w:rsidRPr="00F04CF8">
        <w:t xml:space="preserve">in the cell switch delay </w:t>
      </w:r>
      <w:r w:rsidRPr="00F04CF8">
        <w:t>are needed for the fine time tracking and acquiring full timing information of the target cell.</w:t>
      </w:r>
    </w:p>
    <w:p w14:paraId="46784B3B" w14:textId="77777777" w:rsidR="00776F82" w:rsidRPr="00F04CF8" w:rsidRDefault="006F23AA" w:rsidP="000D12DA">
      <w:pPr>
        <w:pStyle w:val="CommentText"/>
      </w:pPr>
      <w:r w:rsidRPr="00F04CF8">
        <w:t>When a TCI state is activ</w:t>
      </w:r>
      <w:r w:rsidR="009B4127" w:rsidRPr="00F04CF8">
        <w:t>e</w:t>
      </w:r>
      <w:r w:rsidRPr="00F04CF8">
        <w:t xml:space="preserve">, the UE is expected to </w:t>
      </w:r>
      <w:r w:rsidR="000559A9" w:rsidRPr="00F04CF8">
        <w:t>track the timing of this TCI state. In LTM, TCI state may be activated before or at the cell switch command.</w:t>
      </w:r>
      <w:r w:rsidR="00475CD4" w:rsidRPr="00F04CF8">
        <w:t xml:space="preserve"> </w:t>
      </w:r>
    </w:p>
    <w:p w14:paraId="42C52585" w14:textId="698EB08E" w:rsidR="00711422" w:rsidRDefault="00475CD4" w:rsidP="00711422">
      <w:pPr>
        <w:pStyle w:val="CommentText"/>
      </w:pPr>
      <w:r w:rsidRPr="00F04CF8">
        <w:t xml:space="preserve">If the TCI state </w:t>
      </w:r>
      <w:r w:rsidR="00E8313C">
        <w:t xml:space="preserve">for the target cell indicated in the LTM cell switch command </w:t>
      </w:r>
      <w:r w:rsidRPr="00F04CF8">
        <w:t xml:space="preserve">is activated before the cell switch command, it is expected that the UE is </w:t>
      </w:r>
      <w:r w:rsidR="00B90576" w:rsidRPr="00F04CF8">
        <w:t xml:space="preserve">tracking the timing of this TCI state. </w:t>
      </w:r>
      <w:r w:rsidR="00EF4E8B">
        <w:t xml:space="preserve">This has been also the RAN1 motivation to specify TCI </w:t>
      </w:r>
      <w:r w:rsidR="00EF4E8B">
        <w:lastRenderedPageBreak/>
        <w:t xml:space="preserve">state activation before the cell switch command. </w:t>
      </w:r>
      <w:r w:rsidR="00B90576" w:rsidRPr="00F04CF8">
        <w:t xml:space="preserve">Therefore, </w:t>
      </w:r>
      <w:r w:rsidR="00BB76A6" w:rsidRPr="00F04CF8">
        <w:t xml:space="preserve">in our view </w:t>
      </w:r>
      <w:r w:rsidR="00B90576" w:rsidRPr="00F04CF8">
        <w:t xml:space="preserve">at the cell switch command </w:t>
      </w:r>
      <w:r w:rsidR="00694F71" w:rsidRPr="00F04CF8">
        <w:t>there is no need for acquiring the timing information of the target TCI state</w:t>
      </w:r>
      <w:r w:rsidR="00AE73BA" w:rsidRPr="00F04CF8">
        <w:t xml:space="preserve">, and therefore, </w:t>
      </w:r>
      <w:bookmarkStart w:id="23" w:name="_Hlk142310011"/>
      <w:r w:rsidR="00AE73BA" w:rsidRPr="00F04CF8">
        <w:t>T</w:t>
      </w:r>
      <w:r w:rsidR="00AE73BA" w:rsidRPr="00F04CF8">
        <w:rPr>
          <w:vertAlign w:val="subscript"/>
        </w:rPr>
        <w:t>∆</w:t>
      </w:r>
      <w:r w:rsidR="00AE73BA" w:rsidRPr="00F04CF8">
        <w:t xml:space="preserve"> and T</w:t>
      </w:r>
      <w:r w:rsidR="00AE73BA" w:rsidRPr="00F04CF8">
        <w:rPr>
          <w:vertAlign w:val="subscript"/>
        </w:rPr>
        <w:t>margin</w:t>
      </w:r>
      <w:r w:rsidR="00AE73BA" w:rsidRPr="00F04CF8">
        <w:t xml:space="preserve"> </w:t>
      </w:r>
      <w:bookmarkEnd w:id="23"/>
      <w:r w:rsidR="00AE73BA" w:rsidRPr="00F04CF8">
        <w:t>can be zero</w:t>
      </w:r>
      <w:r w:rsidR="00F63F32">
        <w:t>.</w:t>
      </w:r>
    </w:p>
    <w:p w14:paraId="085B3707" w14:textId="77777777" w:rsidR="00226E07" w:rsidRDefault="00226E07" w:rsidP="00226E07">
      <w:pPr>
        <w:pStyle w:val="RAN4proposal"/>
      </w:pPr>
      <w:bookmarkStart w:id="24" w:name="_Toc142661680"/>
      <w:r>
        <w:t xml:space="preserve">If TCI state activation is done before the LTM cell switch command, </w:t>
      </w:r>
      <w:r w:rsidRPr="005B6ABC">
        <w:t>T</w:t>
      </w:r>
      <w:r w:rsidRPr="005B6ABC">
        <w:rPr>
          <w:vertAlign w:val="subscript"/>
        </w:rPr>
        <w:t>∆</w:t>
      </w:r>
      <w:r w:rsidRPr="005B6ABC">
        <w:t xml:space="preserve"> and T</w:t>
      </w:r>
      <w:r w:rsidRPr="005B6ABC">
        <w:rPr>
          <w:vertAlign w:val="subscript"/>
        </w:rPr>
        <w:t>margin</w:t>
      </w:r>
      <w:r>
        <w:t xml:space="preserve"> have value zero.</w:t>
      </w:r>
      <w:bookmarkEnd w:id="24"/>
    </w:p>
    <w:p w14:paraId="519F0EF2" w14:textId="6E018274" w:rsidR="000D12DA" w:rsidRDefault="00776F82" w:rsidP="005949E8">
      <w:pPr>
        <w:pStyle w:val="CommentText"/>
      </w:pPr>
      <w:r w:rsidRPr="00F04CF8">
        <w:t>If the TCI state is activated at the cell switch command, it is expected that the UE needs to synchronize with the corresponding reference signal (SSB)</w:t>
      </w:r>
      <w:r w:rsidR="00C10EC8" w:rsidRPr="00F04CF8">
        <w:t xml:space="preserve"> and therefore needs to be allowed </w:t>
      </w:r>
      <w:r w:rsidR="00950F37" w:rsidRPr="00F04CF8">
        <w:t xml:space="preserve">the </w:t>
      </w:r>
      <w:r w:rsidR="00C10EC8" w:rsidRPr="00F04CF8">
        <w:t>time to do this</w:t>
      </w:r>
      <w:r w:rsidR="004C34E4" w:rsidRPr="00F04CF8">
        <w:t xml:space="preserve">. </w:t>
      </w:r>
      <w:r w:rsidR="002324FA">
        <w:t xml:space="preserve">In the TCI state switching delay requirements, </w:t>
      </w:r>
      <w:r w:rsidR="00447AC2">
        <w:t>t</w:t>
      </w:r>
      <w:r w:rsidR="004C34E4" w:rsidRPr="00F04CF8">
        <w:t>his corresponds to the parameter</w:t>
      </w:r>
      <w:r w:rsidR="001F36B4">
        <w:t>s</w:t>
      </w:r>
      <w:r w:rsidR="004C34E4" w:rsidRPr="00F04CF8">
        <w:t xml:space="preserve"> T</w:t>
      </w:r>
      <w:r w:rsidR="004C34E4" w:rsidRPr="00F04CF8">
        <w:rPr>
          <w:vertAlign w:val="subscript"/>
        </w:rPr>
        <w:t>first-SSB</w:t>
      </w:r>
      <w:r w:rsidR="004C34E4" w:rsidRPr="00F04CF8">
        <w:t xml:space="preserve"> </w:t>
      </w:r>
      <w:r w:rsidR="001F36B4">
        <w:t xml:space="preserve">and </w:t>
      </w:r>
      <w:r w:rsidR="001F36B4" w:rsidRPr="009C5807">
        <w:rPr>
          <w:rFonts w:eastAsia="Malgun Gothic"/>
          <w:lang w:eastAsia="zh-CN"/>
        </w:rPr>
        <w:t>T</w:t>
      </w:r>
      <w:r w:rsidR="001F36B4" w:rsidRPr="009C5807">
        <w:rPr>
          <w:rFonts w:eastAsia="Malgun Gothic"/>
          <w:vertAlign w:val="subscript"/>
          <w:lang w:eastAsia="zh-CN"/>
        </w:rPr>
        <w:t>SSB-proc</w:t>
      </w:r>
      <w:r w:rsidR="00447AC2">
        <w:rPr>
          <w:rFonts w:eastAsia="Malgun Gothic"/>
          <w:lang w:eastAsia="zh-CN"/>
        </w:rPr>
        <w:t>.</w:t>
      </w:r>
      <w:r w:rsidR="001F36B4" w:rsidRPr="001F36B4">
        <w:t xml:space="preserve"> </w:t>
      </w:r>
      <w:r w:rsidR="00923F02">
        <w:t xml:space="preserve">In the LTM cell switch delay, this part would be covered by </w:t>
      </w:r>
      <w:r w:rsidR="00674A14" w:rsidRPr="00F04CF8">
        <w:t>T</w:t>
      </w:r>
      <w:r w:rsidR="00674A14" w:rsidRPr="00F04CF8">
        <w:rPr>
          <w:vertAlign w:val="subscript"/>
        </w:rPr>
        <w:t>∆</w:t>
      </w:r>
      <w:r w:rsidR="00674A14" w:rsidRPr="00F04CF8">
        <w:t xml:space="preserve"> and T</w:t>
      </w:r>
      <w:r w:rsidR="00674A14" w:rsidRPr="00F04CF8">
        <w:rPr>
          <w:vertAlign w:val="subscript"/>
        </w:rPr>
        <w:t>margin</w:t>
      </w:r>
      <w:r w:rsidR="00515B0D" w:rsidRPr="00F04CF8">
        <w:t xml:space="preserve">. </w:t>
      </w:r>
      <w:r w:rsidR="003635FE">
        <w:t xml:space="preserve">The legacy values can in our view be used as the baseline. </w:t>
      </w:r>
      <w:r w:rsidR="00515B0D" w:rsidRPr="00F04CF8">
        <w:t>However, t</w:t>
      </w:r>
      <w:r w:rsidR="000D12DA" w:rsidRPr="00F04CF8">
        <w:t>he definition of T</w:t>
      </w:r>
      <w:r w:rsidR="000D12DA" w:rsidRPr="00F04CF8">
        <w:rPr>
          <w:vertAlign w:val="subscript"/>
        </w:rPr>
        <w:t>rs</w:t>
      </w:r>
      <w:r w:rsidR="000D12DA" w:rsidRPr="00F04CF8">
        <w:t xml:space="preserve"> may </w:t>
      </w:r>
      <w:r w:rsidR="003635FE">
        <w:t>need some adjustment</w:t>
      </w:r>
      <w:r w:rsidR="000D12DA" w:rsidRPr="00F04CF8">
        <w:t xml:space="preserve"> </w:t>
      </w:r>
      <w:r w:rsidR="001B44DF" w:rsidRPr="00F04CF8">
        <w:t>to align with the definition of T</w:t>
      </w:r>
      <w:r w:rsidR="001B44DF" w:rsidRPr="00F04CF8">
        <w:rPr>
          <w:vertAlign w:val="subscript"/>
        </w:rPr>
        <w:t>first-SSB</w:t>
      </w:r>
      <w:r w:rsidR="005B6ABC" w:rsidRPr="001C0F20">
        <w:t>.</w:t>
      </w:r>
    </w:p>
    <w:p w14:paraId="2FEFB13B" w14:textId="4B2DF923" w:rsidR="005B6ABC" w:rsidRDefault="005B6ABC" w:rsidP="00F04CF8">
      <w:pPr>
        <w:pStyle w:val="RAN4proposal"/>
      </w:pPr>
      <w:bookmarkStart w:id="25" w:name="_Toc142661160"/>
      <w:bookmarkStart w:id="26" w:name="_Toc142661330"/>
      <w:bookmarkStart w:id="27" w:name="_Toc142661409"/>
      <w:bookmarkStart w:id="28" w:name="_Toc142661681"/>
      <w:bookmarkEnd w:id="25"/>
      <w:bookmarkEnd w:id="26"/>
      <w:bookmarkEnd w:id="27"/>
      <w:r>
        <w:t xml:space="preserve">If TCI state activation is done at the cell switch command, use legacy values for </w:t>
      </w:r>
      <w:r w:rsidRPr="005B6ABC">
        <w:t>T</w:t>
      </w:r>
      <w:r w:rsidRPr="005B6ABC">
        <w:rPr>
          <w:vertAlign w:val="subscript"/>
        </w:rPr>
        <w:t>∆</w:t>
      </w:r>
      <w:r w:rsidRPr="005B6ABC">
        <w:t xml:space="preserve"> and T</w:t>
      </w:r>
      <w:r w:rsidRPr="005B6ABC">
        <w:rPr>
          <w:vertAlign w:val="subscript"/>
        </w:rPr>
        <w:t>margin</w:t>
      </w:r>
      <w:r>
        <w:t xml:space="preserve"> as the baseline</w:t>
      </w:r>
      <w:r w:rsidR="00F37BB5">
        <w:t xml:space="preserve">, </w:t>
      </w:r>
      <w:r w:rsidR="008B1E3F">
        <w:t>considering any necessary alignment in the definition of</w:t>
      </w:r>
      <w:r w:rsidR="00F37BB5">
        <w:t xml:space="preserve"> </w:t>
      </w:r>
      <w:r w:rsidR="00F37BB5" w:rsidRPr="005B6ABC">
        <w:t>T</w:t>
      </w:r>
      <w:r w:rsidR="00F37BB5" w:rsidRPr="005B6ABC">
        <w:rPr>
          <w:vertAlign w:val="subscript"/>
        </w:rPr>
        <w:t>∆</w:t>
      </w:r>
      <w:r w:rsidR="00F37BB5">
        <w:t xml:space="preserve"> (T</w:t>
      </w:r>
      <w:r w:rsidR="00F37BB5" w:rsidRPr="00F04CF8">
        <w:rPr>
          <w:vertAlign w:val="subscript"/>
        </w:rPr>
        <w:t>RS</w:t>
      </w:r>
      <w:r w:rsidR="00F37BB5">
        <w:t>) to correspond with the definition of T</w:t>
      </w:r>
      <w:r w:rsidR="00F37BB5" w:rsidRPr="00F04CF8">
        <w:rPr>
          <w:vertAlign w:val="subscript"/>
        </w:rPr>
        <w:t>first-SSB</w:t>
      </w:r>
      <w:r w:rsidR="00F37BB5">
        <w:t xml:space="preserve"> in the </w:t>
      </w:r>
      <w:r w:rsidR="00F97F37">
        <w:t xml:space="preserve">legacy </w:t>
      </w:r>
      <w:r w:rsidR="00F37BB5">
        <w:t>TCI state switching delay requirement.</w:t>
      </w:r>
      <w:bookmarkEnd w:id="28"/>
    </w:p>
    <w:p w14:paraId="03C24EE8" w14:textId="37F847D4" w:rsidR="00664659" w:rsidRPr="005A6FE9" w:rsidRDefault="00664659" w:rsidP="00CC3077">
      <w:pPr>
        <w:pStyle w:val="RAN4H3"/>
        <w:rPr>
          <w:lang w:val="en-GB"/>
        </w:rPr>
      </w:pPr>
      <w:r w:rsidRPr="005A6FE9">
        <w:t>T</w:t>
      </w:r>
      <w:r w:rsidRPr="005A6FE9">
        <w:rPr>
          <w:vertAlign w:val="subscript"/>
        </w:rPr>
        <w:t>IU</w:t>
      </w:r>
    </w:p>
    <w:p w14:paraId="5059BBEC" w14:textId="77777777" w:rsidR="00664659" w:rsidRPr="005A6FE9" w:rsidRDefault="00664659" w:rsidP="00664659">
      <w:pPr>
        <w:rPr>
          <w:szCs w:val="20"/>
        </w:rPr>
      </w:pPr>
      <w:r w:rsidRPr="005A6FE9">
        <w:rPr>
          <w:szCs w:val="20"/>
        </w:rPr>
        <w:t>For L3 handover in section 6.1 of 38.133, T</w:t>
      </w:r>
      <w:r w:rsidRPr="005A6FE9">
        <w:rPr>
          <w:szCs w:val="20"/>
          <w:vertAlign w:val="subscript"/>
        </w:rPr>
        <w:t>IU</w:t>
      </w:r>
      <w:r w:rsidRPr="005A6FE9">
        <w:rPr>
          <w:szCs w:val="20"/>
        </w:rPr>
        <w:t xml:space="preserve"> is defined as:</w:t>
      </w:r>
    </w:p>
    <w:p w14:paraId="0186E238" w14:textId="77777777" w:rsidR="00664659" w:rsidRPr="005A6FE9" w:rsidRDefault="00664659" w:rsidP="00CC3077">
      <w:pPr>
        <w:pStyle w:val="ListParagraph"/>
        <w:numPr>
          <w:ilvl w:val="0"/>
          <w:numId w:val="10"/>
        </w:numPr>
        <w:spacing w:after="0" w:line="240" w:lineRule="auto"/>
        <w:jc w:val="left"/>
        <w:rPr>
          <w:i/>
          <w:szCs w:val="20"/>
          <w:lang w:eastAsia="zh-CN"/>
        </w:rPr>
      </w:pPr>
      <w:r w:rsidRPr="005A6FE9">
        <w:rPr>
          <w:i/>
          <w:szCs w:val="20"/>
        </w:rPr>
        <w:t>T</w:t>
      </w:r>
      <w:r w:rsidRPr="005A6FE9">
        <w:rPr>
          <w:i/>
          <w:szCs w:val="20"/>
          <w:vertAlign w:val="subscript"/>
        </w:rPr>
        <w:t>IU</w:t>
      </w:r>
      <w:r w:rsidRPr="005A6FE9">
        <w:rPr>
          <w:i/>
          <w:szCs w:val="20"/>
        </w:rPr>
        <w:t xml:space="preserve"> is the interruption uncertainty </w:t>
      </w:r>
      <w:r w:rsidRPr="005A6FE9">
        <w:rPr>
          <w:i/>
          <w:szCs w:val="20"/>
          <w:lang w:eastAsia="zh-CN"/>
        </w:rPr>
        <w:t>in acquiring the first available PRACH occasion in the new cell</w:t>
      </w:r>
      <w:r w:rsidRPr="005A6FE9">
        <w:rPr>
          <w:i/>
          <w:szCs w:val="20"/>
        </w:rPr>
        <w:t>. T</w:t>
      </w:r>
      <w:r w:rsidRPr="005A6FE9">
        <w:rPr>
          <w:i/>
          <w:szCs w:val="20"/>
          <w:vertAlign w:val="subscript"/>
        </w:rPr>
        <w:t>IU</w:t>
      </w:r>
      <w:r w:rsidRPr="005A6FE9">
        <w:rPr>
          <w:i/>
          <w:szCs w:val="20"/>
        </w:rPr>
        <w:t xml:space="preserve"> can be up to the summation of SSB to PRACH occasion association period and 10 ms. SSB to PRACH occasion associated period is defined in the table 8.1-1 of TS 38.213 [3].</w:t>
      </w:r>
    </w:p>
    <w:p w14:paraId="2EA14022" w14:textId="77777777" w:rsidR="00664659" w:rsidRPr="005A6FE9" w:rsidRDefault="00664659" w:rsidP="00664659">
      <w:pPr>
        <w:pStyle w:val="ListParagraph"/>
        <w:ind w:left="929"/>
        <w:rPr>
          <w:i/>
          <w:iCs/>
          <w:lang w:eastAsia="zh-CN"/>
        </w:rPr>
      </w:pPr>
    </w:p>
    <w:p w14:paraId="0063C161" w14:textId="0DCAB8F4" w:rsidR="00664659" w:rsidRPr="005A6FE9" w:rsidRDefault="0062374A" w:rsidP="00664659">
      <w:pPr>
        <w:rPr>
          <w:szCs w:val="20"/>
        </w:rPr>
      </w:pPr>
      <w:r>
        <w:rPr>
          <w:szCs w:val="20"/>
        </w:rPr>
        <w:t>In RACH-less LTM</w:t>
      </w:r>
      <w:r w:rsidR="00664659" w:rsidRPr="005A6FE9">
        <w:rPr>
          <w:szCs w:val="20"/>
        </w:rPr>
        <w:t xml:space="preserve"> cell switch, random access procedure will take place before the cell switch command based on PDCCH order. If the random access can be completed before the cell switch command, </w:t>
      </w:r>
      <w:r w:rsidR="00C74E45">
        <w:rPr>
          <w:szCs w:val="20"/>
        </w:rPr>
        <w:t xml:space="preserve">the value of </w:t>
      </w:r>
      <w:r w:rsidR="00664659" w:rsidRPr="005A6FE9">
        <w:rPr>
          <w:szCs w:val="20"/>
        </w:rPr>
        <w:t>T</w:t>
      </w:r>
      <w:r w:rsidR="00664659" w:rsidRPr="005A6FE9">
        <w:rPr>
          <w:szCs w:val="20"/>
          <w:vertAlign w:val="subscript"/>
        </w:rPr>
        <w:t>IU</w:t>
      </w:r>
      <w:r w:rsidR="00664659" w:rsidRPr="005A6FE9">
        <w:rPr>
          <w:szCs w:val="20"/>
        </w:rPr>
        <w:t xml:space="preserve"> can be zero. However, </w:t>
      </w:r>
      <w:r w:rsidR="00A0376A">
        <w:rPr>
          <w:szCs w:val="20"/>
        </w:rPr>
        <w:t xml:space="preserve">RAN4 should take into account that the </w:t>
      </w:r>
      <w:r w:rsidR="00664659" w:rsidRPr="005A6FE9">
        <w:rPr>
          <w:szCs w:val="20"/>
        </w:rPr>
        <w:t xml:space="preserve">RAN1 design of PDCCH ordered RACH within the LTM framework is not </w:t>
      </w:r>
      <w:r w:rsidR="00A16D90">
        <w:rPr>
          <w:szCs w:val="20"/>
        </w:rPr>
        <w:t xml:space="preserve">fully </w:t>
      </w:r>
      <w:r w:rsidR="00664659" w:rsidRPr="005A6FE9">
        <w:rPr>
          <w:szCs w:val="20"/>
        </w:rPr>
        <w:t xml:space="preserve">completed yet. </w:t>
      </w:r>
      <w:r w:rsidR="00664659" w:rsidRPr="005A6FE9">
        <w:t xml:space="preserve">Therefore, RAN4 should </w:t>
      </w:r>
      <w:r w:rsidR="00A0376A">
        <w:t>follow</w:t>
      </w:r>
      <w:r w:rsidR="00664659" w:rsidRPr="005A6FE9">
        <w:rPr>
          <w:szCs w:val="20"/>
        </w:rPr>
        <w:t xml:space="preserve"> any new agreements related to PDCCH ordered RACH work in RAN1 to get the details correct. </w:t>
      </w:r>
    </w:p>
    <w:p w14:paraId="0DFE579F" w14:textId="20688B70" w:rsidR="00664659" w:rsidRPr="005A6FE9" w:rsidRDefault="000475D0" w:rsidP="00CC3077">
      <w:pPr>
        <w:pStyle w:val="RAN4proposal"/>
        <w:rPr>
          <w:szCs w:val="20"/>
        </w:rPr>
      </w:pPr>
      <w:bookmarkStart w:id="29" w:name="_Toc135078023"/>
      <w:bookmarkStart w:id="30" w:name="_Toc142661682"/>
      <w:r>
        <w:rPr>
          <w:szCs w:val="20"/>
        </w:rPr>
        <w:t>I</w:t>
      </w:r>
      <w:r w:rsidR="00664659" w:rsidRPr="005A6FE9">
        <w:rPr>
          <w:szCs w:val="20"/>
        </w:rPr>
        <w:t>f random access can be completed before the cell switch command</w:t>
      </w:r>
      <w:r>
        <w:rPr>
          <w:szCs w:val="20"/>
        </w:rPr>
        <w:t xml:space="preserve"> (RACH-less cell switch)</w:t>
      </w:r>
      <w:r w:rsidR="00664659" w:rsidRPr="005A6FE9">
        <w:rPr>
          <w:szCs w:val="20"/>
        </w:rPr>
        <w:t>, T</w:t>
      </w:r>
      <w:r w:rsidR="00664659" w:rsidRPr="005A6FE9">
        <w:rPr>
          <w:szCs w:val="20"/>
          <w:vertAlign w:val="subscript"/>
        </w:rPr>
        <w:t xml:space="preserve">IU </w:t>
      </w:r>
      <w:r w:rsidR="00664659" w:rsidRPr="005A6FE9">
        <w:rPr>
          <w:szCs w:val="20"/>
        </w:rPr>
        <w:t>= 0.</w:t>
      </w:r>
      <w:bookmarkEnd w:id="29"/>
      <w:bookmarkEnd w:id="30"/>
    </w:p>
    <w:p w14:paraId="0D9A91FD" w14:textId="47E30AB9" w:rsidR="00664659" w:rsidRPr="005A6FE9" w:rsidRDefault="00664659" w:rsidP="00664659">
      <w:pPr>
        <w:rPr>
          <w:szCs w:val="20"/>
        </w:rPr>
      </w:pPr>
      <w:r w:rsidRPr="005A6FE9">
        <w:rPr>
          <w:szCs w:val="20"/>
        </w:rPr>
        <w:t>When random access is performed after the cell switch command, legacy definition of T</w:t>
      </w:r>
      <w:r w:rsidRPr="005A6FE9">
        <w:rPr>
          <w:szCs w:val="20"/>
          <w:vertAlign w:val="subscript"/>
        </w:rPr>
        <w:t>IU</w:t>
      </w:r>
      <w:r w:rsidRPr="005A6FE9">
        <w:rPr>
          <w:szCs w:val="20"/>
        </w:rPr>
        <w:t xml:space="preserve"> can be used as the baseline.</w:t>
      </w:r>
    </w:p>
    <w:p w14:paraId="7DDF5DB7" w14:textId="4B0230ED" w:rsidR="00664659" w:rsidRDefault="005A6FE9" w:rsidP="00CC3077">
      <w:pPr>
        <w:pStyle w:val="RAN4proposal"/>
      </w:pPr>
      <w:bookmarkStart w:id="31" w:name="_Toc135078024"/>
      <w:bookmarkStart w:id="32" w:name="_Toc142661683"/>
      <w:r w:rsidRPr="005A6FE9">
        <w:t>When</w:t>
      </w:r>
      <w:r w:rsidR="00664659" w:rsidRPr="005A6FE9">
        <w:t xml:space="preserve"> random access happens after the cell switch command</w:t>
      </w:r>
      <w:r w:rsidR="00741562">
        <w:t xml:space="preserve"> (RACH-based </w:t>
      </w:r>
      <w:r w:rsidR="000475D0">
        <w:t>cell switch</w:t>
      </w:r>
      <w:r w:rsidR="00741562">
        <w:t>)</w:t>
      </w:r>
      <w:r w:rsidR="00664659" w:rsidRPr="005A6FE9">
        <w:t>, legacy definition of T</w:t>
      </w:r>
      <w:r w:rsidR="00664659" w:rsidRPr="005A6FE9">
        <w:rPr>
          <w:vertAlign w:val="subscript"/>
        </w:rPr>
        <w:t>IU</w:t>
      </w:r>
      <w:r w:rsidR="00664659" w:rsidRPr="005A6FE9">
        <w:t xml:space="preserve"> can be used as the baseline.</w:t>
      </w:r>
      <w:bookmarkEnd w:id="31"/>
      <w:bookmarkEnd w:id="32"/>
    </w:p>
    <w:p w14:paraId="6C3C6767" w14:textId="1889B343" w:rsidR="005E621F" w:rsidRDefault="005E621F" w:rsidP="00465DED">
      <w:pPr>
        <w:pStyle w:val="RAN4H1"/>
        <w:rPr>
          <w:lang w:val="en-GB" w:eastAsia="en-GB"/>
        </w:rPr>
      </w:pPr>
      <w:r>
        <w:rPr>
          <w:lang w:val="en-GB" w:eastAsia="en-GB"/>
        </w:rPr>
        <w:t>Known/unknown TCI state</w:t>
      </w:r>
    </w:p>
    <w:p w14:paraId="66299C9A" w14:textId="6CC93B54" w:rsidR="002B384E" w:rsidRDefault="002B384E" w:rsidP="002B384E">
      <w:pPr>
        <w:rPr>
          <w:lang w:val="en-GB" w:eastAsia="en-GB"/>
        </w:rPr>
      </w:pPr>
      <w:r>
        <w:rPr>
          <w:lang w:val="en-GB" w:eastAsia="en-GB"/>
        </w:rPr>
        <w:t>The condition of known TCI state is defined for unified DL</w:t>
      </w:r>
      <w:r w:rsidR="00C85712">
        <w:rPr>
          <w:lang w:val="en-GB" w:eastAsia="en-GB"/>
        </w:rPr>
        <w:t xml:space="preserve"> and UL TCI</w:t>
      </w:r>
      <w:r>
        <w:rPr>
          <w:lang w:val="en-GB" w:eastAsia="en-GB"/>
        </w:rPr>
        <w:t xml:space="preserve"> state in the following way:</w:t>
      </w:r>
    </w:p>
    <w:tbl>
      <w:tblPr>
        <w:tblStyle w:val="TableGrid"/>
        <w:tblW w:w="0" w:type="auto"/>
        <w:tblLook w:val="04A0" w:firstRow="1" w:lastRow="0" w:firstColumn="1" w:lastColumn="0" w:noHBand="0" w:noVBand="1"/>
      </w:tblPr>
      <w:tblGrid>
        <w:gridCol w:w="9617"/>
      </w:tblGrid>
      <w:tr w:rsidR="002B384E" w14:paraId="6E014948" w14:textId="77777777" w:rsidTr="002B384E">
        <w:tc>
          <w:tcPr>
            <w:tcW w:w="9617" w:type="dxa"/>
          </w:tcPr>
          <w:p w14:paraId="4FD735EF" w14:textId="77777777" w:rsidR="002B384E" w:rsidRDefault="002B384E" w:rsidP="002B384E">
            <w:pPr>
              <w:keepNext/>
              <w:keepLines/>
              <w:spacing w:before="120"/>
              <w:ind w:left="1134" w:hanging="1134"/>
              <w:outlineLvl w:val="2"/>
              <w:rPr>
                <w:rFonts w:ascii="Arial" w:hAnsi="Arial"/>
                <w:sz w:val="28"/>
              </w:rPr>
            </w:pPr>
            <w:r>
              <w:rPr>
                <w:rFonts w:ascii="Arial" w:hAnsi="Arial"/>
                <w:sz w:val="28"/>
              </w:rPr>
              <w:lastRenderedPageBreak/>
              <w:t>8.15.2</w:t>
            </w:r>
            <w:r>
              <w:rPr>
                <w:rFonts w:ascii="Arial" w:hAnsi="Arial"/>
                <w:sz w:val="28"/>
              </w:rPr>
              <w:tab/>
              <w:t>Known conditions for downlink TCI state</w:t>
            </w:r>
          </w:p>
          <w:p w14:paraId="0E3D0451" w14:textId="77777777" w:rsidR="002B384E" w:rsidRPr="00E84C7D" w:rsidRDefault="002B384E" w:rsidP="002B384E">
            <w:pPr>
              <w:tabs>
                <w:tab w:val="left" w:pos="0"/>
              </w:tabs>
              <w:rPr>
                <w:rFonts w:eastAsia="Malgun Gothic" w:cs="v4.2.0"/>
                <w:szCs w:val="20"/>
                <w:lang w:val="en-GB" w:eastAsia="zh-CN"/>
              </w:rPr>
            </w:pPr>
            <w:r w:rsidRPr="00E84C7D">
              <w:rPr>
                <w:rFonts w:eastAsia="Malgun Gothic" w:cs="v4.2.0"/>
                <w:szCs w:val="20"/>
                <w:lang w:eastAsia="zh-CN"/>
              </w:rPr>
              <w:t>The downlink TCI state is known if the following conditions are met:</w:t>
            </w:r>
          </w:p>
          <w:p w14:paraId="55DB5FE1" w14:textId="77777777" w:rsidR="002B384E" w:rsidRPr="00E84C7D" w:rsidRDefault="002B384E" w:rsidP="002B384E">
            <w:pPr>
              <w:pStyle w:val="B1"/>
            </w:pPr>
            <w:r w:rsidRPr="00E84C7D">
              <w:rPr>
                <w:lang w:eastAsia="zh-CN"/>
              </w:rPr>
              <w:t>-</w:t>
            </w:r>
            <w:r w:rsidRPr="00E84C7D">
              <w:rPr>
                <w:lang w:eastAsia="zh-CN"/>
              </w:rPr>
              <w:tab/>
              <w:t xml:space="preserve">During the period from the last transmission of the RS resource used for the L1-RSRP measurement reporting </w:t>
            </w:r>
            <w:r w:rsidRPr="00E84C7D">
              <w:t xml:space="preserve">for the target </w:t>
            </w:r>
            <w:r w:rsidRPr="00E84C7D">
              <w:rPr>
                <w:rFonts w:eastAsia="Malgun Gothic" w:cs="v4.2.0"/>
                <w:lang w:eastAsia="zh-CN"/>
              </w:rPr>
              <w:t xml:space="preserve">downlink </w:t>
            </w:r>
            <w:r w:rsidRPr="00E84C7D">
              <w:t xml:space="preserve">TCI state to the completion of active </w:t>
            </w:r>
            <w:r w:rsidRPr="00E84C7D">
              <w:rPr>
                <w:rFonts w:eastAsia="Malgun Gothic" w:cs="v4.2.0"/>
                <w:lang w:eastAsia="zh-CN"/>
              </w:rPr>
              <w:t xml:space="preserve">downlink </w:t>
            </w:r>
            <w:r w:rsidRPr="00E84C7D">
              <w:t xml:space="preserve">TCI state switch, where the RS resource for L1-RSRP measurement is the RS in target </w:t>
            </w:r>
            <w:r w:rsidRPr="00E84C7D">
              <w:rPr>
                <w:rFonts w:eastAsia="Malgun Gothic" w:cs="v4.2.0"/>
                <w:lang w:eastAsia="zh-CN"/>
              </w:rPr>
              <w:t xml:space="preserve">downlink </w:t>
            </w:r>
            <w:r w:rsidRPr="00E84C7D">
              <w:t xml:space="preserve">TCI state or QCLed to the target </w:t>
            </w:r>
            <w:r w:rsidRPr="00E84C7D">
              <w:rPr>
                <w:rFonts w:eastAsia="Malgun Gothic" w:cs="v4.2.0"/>
                <w:lang w:eastAsia="zh-CN"/>
              </w:rPr>
              <w:t xml:space="preserve">downlink </w:t>
            </w:r>
            <w:r w:rsidRPr="00E84C7D">
              <w:t>TCI state</w:t>
            </w:r>
          </w:p>
          <w:p w14:paraId="5BFA2D61" w14:textId="77777777" w:rsidR="002B384E" w:rsidRPr="00E84C7D" w:rsidRDefault="002B384E" w:rsidP="002B384E">
            <w:pPr>
              <w:pStyle w:val="B2"/>
              <w:rPr>
                <w:sz w:val="20"/>
                <w:szCs w:val="20"/>
                <w:lang w:eastAsia="zh-CN"/>
              </w:rPr>
            </w:pPr>
            <w:r w:rsidRPr="00E84C7D">
              <w:rPr>
                <w:sz w:val="20"/>
                <w:szCs w:val="20"/>
                <w:lang w:eastAsia="zh-CN"/>
              </w:rPr>
              <w:t>-</w:t>
            </w:r>
            <w:r w:rsidRPr="00E84C7D">
              <w:rPr>
                <w:sz w:val="20"/>
                <w:szCs w:val="20"/>
                <w:lang w:eastAsia="zh-CN"/>
              </w:rPr>
              <w:tab/>
            </w:r>
            <w:r w:rsidRPr="00E84C7D">
              <w:rPr>
                <w:rFonts w:eastAsia="Malgun Gothic" w:cs="v4.2.0"/>
                <w:sz w:val="20"/>
                <w:szCs w:val="20"/>
                <w:lang w:eastAsia="zh-CN"/>
              </w:rPr>
              <w:t xml:space="preserve">Downlink </w:t>
            </w:r>
            <w:r w:rsidRPr="00E84C7D">
              <w:rPr>
                <w:sz w:val="20"/>
                <w:szCs w:val="20"/>
                <w:lang w:eastAsia="zh-CN"/>
              </w:rPr>
              <w:t>TCI state switch command is received within 1280 ms upon the last transmission of the RS resource for beam reporting or measurement</w:t>
            </w:r>
          </w:p>
          <w:p w14:paraId="27ABB8A2" w14:textId="77777777" w:rsidR="002B384E" w:rsidRPr="00E84C7D" w:rsidRDefault="002B384E" w:rsidP="002B384E">
            <w:pPr>
              <w:pStyle w:val="B2"/>
              <w:rPr>
                <w:sz w:val="20"/>
                <w:szCs w:val="20"/>
                <w:lang w:eastAsia="zh-CN"/>
              </w:rPr>
            </w:pPr>
            <w:r w:rsidRPr="00E84C7D">
              <w:rPr>
                <w:sz w:val="20"/>
                <w:szCs w:val="20"/>
                <w:lang w:eastAsia="zh-CN"/>
              </w:rPr>
              <w:t>-</w:t>
            </w:r>
            <w:r w:rsidRPr="00E84C7D">
              <w:rPr>
                <w:sz w:val="20"/>
                <w:szCs w:val="20"/>
                <w:lang w:eastAsia="zh-CN"/>
              </w:rPr>
              <w:tab/>
              <w:t xml:space="preserve">The UE has sent at least 1 L1-RSRP report for the target </w:t>
            </w:r>
            <w:r w:rsidRPr="00E84C7D">
              <w:rPr>
                <w:rFonts w:eastAsia="Malgun Gothic" w:cs="v4.2.0"/>
                <w:sz w:val="20"/>
                <w:szCs w:val="20"/>
                <w:lang w:eastAsia="zh-CN"/>
              </w:rPr>
              <w:t xml:space="preserve">downlink </w:t>
            </w:r>
            <w:r w:rsidRPr="00E84C7D">
              <w:rPr>
                <w:sz w:val="20"/>
                <w:szCs w:val="20"/>
                <w:lang w:eastAsia="zh-CN"/>
              </w:rPr>
              <w:t xml:space="preserve">TCI state before the </w:t>
            </w:r>
            <w:r w:rsidRPr="00E84C7D">
              <w:rPr>
                <w:rFonts w:eastAsia="Malgun Gothic" w:cs="v4.2.0"/>
                <w:sz w:val="20"/>
                <w:szCs w:val="20"/>
                <w:lang w:eastAsia="zh-CN"/>
              </w:rPr>
              <w:t xml:space="preserve">downlink </w:t>
            </w:r>
            <w:r w:rsidRPr="00E84C7D">
              <w:rPr>
                <w:sz w:val="20"/>
                <w:szCs w:val="20"/>
                <w:lang w:eastAsia="zh-CN"/>
              </w:rPr>
              <w:t>TCI state switch command</w:t>
            </w:r>
          </w:p>
          <w:p w14:paraId="01D6E2E4" w14:textId="77777777" w:rsidR="002B384E" w:rsidRPr="00E84C7D" w:rsidRDefault="002B384E" w:rsidP="002B384E">
            <w:pPr>
              <w:pStyle w:val="B2"/>
              <w:rPr>
                <w:sz w:val="20"/>
                <w:szCs w:val="20"/>
                <w:lang w:eastAsia="zh-CN"/>
              </w:rPr>
            </w:pPr>
            <w:r w:rsidRPr="00E84C7D">
              <w:rPr>
                <w:sz w:val="20"/>
                <w:szCs w:val="20"/>
                <w:lang w:eastAsia="zh-CN"/>
              </w:rPr>
              <w:t>-</w:t>
            </w:r>
            <w:r w:rsidRPr="00E84C7D">
              <w:rPr>
                <w:sz w:val="20"/>
                <w:szCs w:val="20"/>
                <w:lang w:eastAsia="zh-CN"/>
              </w:rPr>
              <w:tab/>
              <w:t xml:space="preserve">The </w:t>
            </w:r>
            <w:r w:rsidRPr="00E84C7D">
              <w:rPr>
                <w:sz w:val="20"/>
                <w:szCs w:val="20"/>
              </w:rPr>
              <w:t xml:space="preserve">target </w:t>
            </w:r>
            <w:r w:rsidRPr="00E84C7D">
              <w:rPr>
                <w:rFonts w:eastAsia="Malgun Gothic" w:cs="v4.2.0"/>
                <w:sz w:val="20"/>
                <w:szCs w:val="20"/>
                <w:lang w:eastAsia="zh-CN"/>
              </w:rPr>
              <w:t xml:space="preserve">downlink </w:t>
            </w:r>
            <w:r w:rsidRPr="00E84C7D">
              <w:rPr>
                <w:sz w:val="20"/>
                <w:szCs w:val="20"/>
                <w:lang w:eastAsia="zh-CN"/>
              </w:rPr>
              <w:t>TCI state remains detectable during the</w:t>
            </w:r>
            <w:r w:rsidRPr="00E84C7D">
              <w:rPr>
                <w:rFonts w:eastAsia="Malgun Gothic" w:cs="v4.2.0"/>
                <w:sz w:val="20"/>
                <w:szCs w:val="20"/>
                <w:lang w:eastAsia="zh-CN"/>
              </w:rPr>
              <w:t xml:space="preserve"> downlink</w:t>
            </w:r>
            <w:r w:rsidRPr="00E84C7D">
              <w:rPr>
                <w:sz w:val="20"/>
                <w:szCs w:val="20"/>
                <w:lang w:eastAsia="zh-CN"/>
              </w:rPr>
              <w:t xml:space="preserve"> TCI state switching period</w:t>
            </w:r>
          </w:p>
          <w:p w14:paraId="2BCAF59C" w14:textId="77777777" w:rsidR="002B384E" w:rsidRPr="00E84C7D" w:rsidRDefault="002B384E" w:rsidP="002B384E">
            <w:pPr>
              <w:pStyle w:val="B2"/>
              <w:rPr>
                <w:sz w:val="20"/>
                <w:szCs w:val="20"/>
                <w:lang w:eastAsia="zh-CN"/>
              </w:rPr>
            </w:pPr>
            <w:r w:rsidRPr="00E84C7D">
              <w:rPr>
                <w:sz w:val="20"/>
                <w:szCs w:val="20"/>
                <w:lang w:eastAsia="zh-CN"/>
              </w:rPr>
              <w:t>-</w:t>
            </w:r>
            <w:r w:rsidRPr="00E84C7D">
              <w:rPr>
                <w:sz w:val="20"/>
                <w:szCs w:val="20"/>
                <w:lang w:eastAsia="zh-CN"/>
              </w:rPr>
              <w:tab/>
              <w:t xml:space="preserve">The SSB associated with the </w:t>
            </w:r>
            <w:r w:rsidRPr="00E84C7D">
              <w:rPr>
                <w:rFonts w:eastAsia="Malgun Gothic" w:cs="v4.2.0"/>
                <w:sz w:val="20"/>
                <w:szCs w:val="20"/>
                <w:lang w:eastAsia="zh-CN"/>
              </w:rPr>
              <w:t xml:space="preserve">downlink </w:t>
            </w:r>
            <w:r w:rsidRPr="00E84C7D">
              <w:rPr>
                <w:sz w:val="20"/>
                <w:szCs w:val="20"/>
                <w:lang w:eastAsia="zh-CN"/>
              </w:rPr>
              <w:t xml:space="preserve">TCI state remain detectable during the </w:t>
            </w:r>
            <w:r w:rsidRPr="00E84C7D">
              <w:rPr>
                <w:rFonts w:eastAsia="Malgun Gothic" w:cs="v4.2.0"/>
                <w:sz w:val="20"/>
                <w:szCs w:val="20"/>
                <w:lang w:eastAsia="zh-CN"/>
              </w:rPr>
              <w:t xml:space="preserve">downlink </w:t>
            </w:r>
            <w:r w:rsidRPr="00E84C7D">
              <w:rPr>
                <w:sz w:val="20"/>
                <w:szCs w:val="20"/>
                <w:lang w:eastAsia="zh-CN"/>
              </w:rPr>
              <w:t>TCI switching period</w:t>
            </w:r>
          </w:p>
          <w:p w14:paraId="243D1EAB" w14:textId="77777777" w:rsidR="002B384E" w:rsidRPr="00E84C7D" w:rsidRDefault="002B384E" w:rsidP="002B384E">
            <w:pPr>
              <w:pStyle w:val="B3"/>
              <w:rPr>
                <w:sz w:val="20"/>
                <w:szCs w:val="20"/>
                <w:lang w:eastAsia="zh-CN"/>
              </w:rPr>
            </w:pPr>
            <w:r w:rsidRPr="00E84C7D">
              <w:rPr>
                <w:sz w:val="20"/>
                <w:szCs w:val="20"/>
                <w:lang w:eastAsia="zh-CN"/>
              </w:rPr>
              <w:t>-</w:t>
            </w:r>
            <w:r w:rsidRPr="00E84C7D">
              <w:rPr>
                <w:sz w:val="20"/>
                <w:szCs w:val="20"/>
                <w:lang w:eastAsia="zh-CN"/>
              </w:rPr>
              <w:tab/>
              <w:t xml:space="preserve">SNR of the </w:t>
            </w:r>
            <w:r w:rsidRPr="00E84C7D">
              <w:rPr>
                <w:rFonts w:eastAsia="Malgun Gothic" w:cs="v4.2.0"/>
                <w:sz w:val="20"/>
                <w:szCs w:val="20"/>
                <w:lang w:eastAsia="zh-CN"/>
              </w:rPr>
              <w:t xml:space="preserve">downlink </w:t>
            </w:r>
            <w:r w:rsidRPr="00E84C7D">
              <w:rPr>
                <w:sz w:val="20"/>
                <w:szCs w:val="20"/>
                <w:lang w:eastAsia="zh-CN"/>
              </w:rPr>
              <w:t xml:space="preserve">TCI state </w:t>
            </w:r>
            <w:r w:rsidRPr="00E84C7D">
              <w:rPr>
                <w:rFonts w:eastAsia="Calibri"/>
                <w:sz w:val="20"/>
                <w:szCs w:val="20"/>
              </w:rPr>
              <w:t>≥</w:t>
            </w:r>
            <w:r w:rsidRPr="00E84C7D">
              <w:rPr>
                <w:sz w:val="20"/>
                <w:szCs w:val="20"/>
                <w:lang w:eastAsia="zh-CN"/>
              </w:rPr>
              <w:t xml:space="preserve"> -3dB</w:t>
            </w:r>
          </w:p>
          <w:p w14:paraId="57CE4B0E" w14:textId="77777777" w:rsidR="002B384E" w:rsidRPr="00E84C7D" w:rsidRDefault="002B384E" w:rsidP="002B384E">
            <w:pPr>
              <w:pStyle w:val="B3"/>
              <w:rPr>
                <w:sz w:val="20"/>
                <w:szCs w:val="20"/>
                <w:lang w:eastAsia="zh-CN"/>
              </w:rPr>
            </w:pPr>
            <w:r w:rsidRPr="00E84C7D">
              <w:rPr>
                <w:sz w:val="20"/>
                <w:szCs w:val="20"/>
                <w:lang w:eastAsia="zh-CN"/>
              </w:rPr>
              <w:t>-</w:t>
            </w:r>
            <w:r w:rsidRPr="00E84C7D">
              <w:rPr>
                <w:sz w:val="20"/>
                <w:szCs w:val="20"/>
                <w:lang w:eastAsia="zh-CN"/>
              </w:rPr>
              <w:tab/>
              <w:t xml:space="preserve">The SSB can be associated with either the </w:t>
            </w:r>
            <w:r w:rsidRPr="00E84C7D">
              <w:rPr>
                <w:sz w:val="20"/>
                <w:szCs w:val="20"/>
              </w:rPr>
              <w:t>serving cell</w:t>
            </w:r>
            <w:r w:rsidRPr="00E84C7D">
              <w:rPr>
                <w:sz w:val="20"/>
                <w:szCs w:val="20"/>
                <w:lang w:eastAsia="zh-CN"/>
              </w:rPr>
              <w:t xml:space="preserve"> PCI or a PCI different from serving cell PCI.</w:t>
            </w:r>
          </w:p>
          <w:p w14:paraId="20223620" w14:textId="77777777" w:rsidR="002B384E" w:rsidRPr="00E84C7D" w:rsidRDefault="002B384E" w:rsidP="002B384E">
            <w:pPr>
              <w:rPr>
                <w:rFonts w:eastAsia="Malgun Gothic"/>
                <w:szCs w:val="20"/>
                <w:lang w:eastAsia="zh-CN"/>
              </w:rPr>
            </w:pPr>
            <w:r w:rsidRPr="00E84C7D">
              <w:rPr>
                <w:rFonts w:eastAsia="Malgun Gothic"/>
                <w:szCs w:val="20"/>
                <w:lang w:eastAsia="zh-CN"/>
              </w:rPr>
              <w:t xml:space="preserve">Otherwise, the </w:t>
            </w:r>
            <w:r w:rsidRPr="00E84C7D">
              <w:rPr>
                <w:rFonts w:eastAsia="Malgun Gothic" w:cs="v4.2.0"/>
                <w:szCs w:val="20"/>
                <w:lang w:eastAsia="zh-CN"/>
              </w:rPr>
              <w:t xml:space="preserve">downlink </w:t>
            </w:r>
            <w:r w:rsidRPr="00E84C7D">
              <w:rPr>
                <w:rFonts w:eastAsia="Malgun Gothic"/>
                <w:szCs w:val="20"/>
                <w:lang w:eastAsia="zh-CN"/>
              </w:rPr>
              <w:t>TCI state is unknown.</w:t>
            </w:r>
          </w:p>
          <w:p w14:paraId="23C5BF9F" w14:textId="77777777" w:rsidR="00C85712" w:rsidRDefault="00C85712" w:rsidP="002B384E">
            <w:pPr>
              <w:rPr>
                <w:rFonts w:eastAsia="Malgun Gothic"/>
                <w:lang w:eastAsia="zh-CN"/>
              </w:rPr>
            </w:pPr>
          </w:p>
          <w:p w14:paraId="04B8E2C1" w14:textId="77777777" w:rsidR="00C85712" w:rsidRDefault="00C85712" w:rsidP="00C85712">
            <w:pPr>
              <w:keepNext/>
              <w:keepLines/>
              <w:spacing w:before="120"/>
              <w:ind w:left="1134" w:hanging="1134"/>
              <w:outlineLvl w:val="2"/>
              <w:rPr>
                <w:rFonts w:ascii="Arial" w:hAnsi="Arial"/>
                <w:sz w:val="28"/>
              </w:rPr>
            </w:pPr>
            <w:r>
              <w:rPr>
                <w:rFonts w:ascii="Arial" w:hAnsi="Arial"/>
                <w:sz w:val="28"/>
              </w:rPr>
              <w:t>8.16.2</w:t>
            </w:r>
            <w:r>
              <w:rPr>
                <w:rFonts w:ascii="Arial" w:hAnsi="Arial"/>
                <w:sz w:val="28"/>
              </w:rPr>
              <w:tab/>
              <w:t>Known conditions for uplink TCI state</w:t>
            </w:r>
          </w:p>
          <w:p w14:paraId="43DFC67A" w14:textId="77777777" w:rsidR="00C85712" w:rsidRPr="00E84C7D" w:rsidRDefault="00C85712" w:rsidP="00C85712">
            <w:pPr>
              <w:tabs>
                <w:tab w:val="left" w:pos="0"/>
              </w:tabs>
              <w:rPr>
                <w:rFonts w:eastAsia="Malgun Gothic" w:cs="v4.2.0"/>
                <w:szCs w:val="20"/>
                <w:lang w:val="en-GB" w:eastAsia="zh-CN"/>
              </w:rPr>
            </w:pPr>
            <w:r w:rsidRPr="00E84C7D">
              <w:rPr>
                <w:rFonts w:eastAsia="Malgun Gothic" w:cs="v4.2.0"/>
                <w:szCs w:val="20"/>
                <w:lang w:eastAsia="zh-CN"/>
              </w:rPr>
              <w:t>The uplink TCI state is known if the following conditions are met:</w:t>
            </w:r>
          </w:p>
          <w:p w14:paraId="7ACE1148" w14:textId="77777777" w:rsidR="00C85712" w:rsidRPr="00E84C7D" w:rsidRDefault="00C85712" w:rsidP="00C85712">
            <w:pPr>
              <w:pStyle w:val="B1"/>
            </w:pPr>
            <w:r w:rsidRPr="00E84C7D">
              <w:t>-</w:t>
            </w:r>
            <w:r w:rsidRPr="00E84C7D">
              <w:tab/>
              <w:t xml:space="preserve">During the period from the last transmission of the RS resource used for the L1-RSRP measurement reporting for the target </w:t>
            </w:r>
            <w:r w:rsidRPr="00E84C7D">
              <w:rPr>
                <w:rFonts w:eastAsia="Malgun Gothic" w:cs="v4.2.0"/>
                <w:lang w:eastAsia="zh-CN"/>
              </w:rPr>
              <w:t xml:space="preserve">uplink </w:t>
            </w:r>
            <w:r w:rsidRPr="00E84C7D">
              <w:t xml:space="preserve">TCI state to the completion of active </w:t>
            </w:r>
            <w:r w:rsidRPr="00E84C7D">
              <w:rPr>
                <w:rFonts w:eastAsia="Malgun Gothic" w:cs="v4.2.0"/>
                <w:lang w:eastAsia="zh-CN"/>
              </w:rPr>
              <w:t xml:space="preserve">uplink </w:t>
            </w:r>
            <w:r w:rsidRPr="00E84C7D">
              <w:t xml:space="preserve">TCI state switch, where the RS resource for L1-RSRP measurement is the RS in target </w:t>
            </w:r>
            <w:r w:rsidRPr="00E84C7D">
              <w:rPr>
                <w:rFonts w:eastAsia="Malgun Gothic" w:cs="v4.2.0"/>
                <w:lang w:eastAsia="zh-CN"/>
              </w:rPr>
              <w:t xml:space="preserve">uplink </w:t>
            </w:r>
            <w:r w:rsidRPr="00E84C7D">
              <w:t xml:space="preserve">TCI state or QCLed to the target </w:t>
            </w:r>
            <w:r w:rsidRPr="00E84C7D">
              <w:rPr>
                <w:rFonts w:eastAsia="Malgun Gothic" w:cs="v4.2.0"/>
                <w:lang w:eastAsia="zh-CN"/>
              </w:rPr>
              <w:t xml:space="preserve">uplink </w:t>
            </w:r>
            <w:r w:rsidRPr="00E84C7D">
              <w:t>TCI state</w:t>
            </w:r>
          </w:p>
          <w:p w14:paraId="4E79E4A0" w14:textId="77777777" w:rsidR="00C85712" w:rsidRPr="00E84C7D" w:rsidRDefault="00C85712" w:rsidP="00C85712">
            <w:pPr>
              <w:pStyle w:val="B2"/>
              <w:rPr>
                <w:sz w:val="20"/>
                <w:szCs w:val="20"/>
                <w:lang w:eastAsia="zh-CN"/>
              </w:rPr>
            </w:pPr>
            <w:r w:rsidRPr="00E84C7D">
              <w:rPr>
                <w:sz w:val="20"/>
                <w:szCs w:val="20"/>
                <w:lang w:eastAsia="zh-CN"/>
              </w:rPr>
              <w:t>-</w:t>
            </w:r>
            <w:r w:rsidRPr="00E84C7D">
              <w:rPr>
                <w:sz w:val="20"/>
                <w:szCs w:val="20"/>
                <w:lang w:eastAsia="zh-CN"/>
              </w:rPr>
              <w:tab/>
            </w:r>
            <w:r w:rsidRPr="00E84C7D">
              <w:rPr>
                <w:rFonts w:eastAsia="Malgun Gothic" w:cs="v4.2.0"/>
                <w:sz w:val="20"/>
                <w:szCs w:val="20"/>
                <w:lang w:eastAsia="zh-CN"/>
              </w:rPr>
              <w:t xml:space="preserve">Uplink </w:t>
            </w:r>
            <w:r w:rsidRPr="00E84C7D">
              <w:rPr>
                <w:sz w:val="20"/>
                <w:szCs w:val="20"/>
                <w:lang w:eastAsia="zh-CN"/>
              </w:rPr>
              <w:t>TCI state switch command is received within 1280 ms upon the last transmission of the RS resource for beam reporting or measurement</w:t>
            </w:r>
          </w:p>
          <w:p w14:paraId="3544B680" w14:textId="77777777" w:rsidR="00C85712" w:rsidRPr="00E84C7D" w:rsidRDefault="00C85712" w:rsidP="00C85712">
            <w:pPr>
              <w:pStyle w:val="B2"/>
              <w:rPr>
                <w:sz w:val="20"/>
                <w:szCs w:val="20"/>
                <w:lang w:eastAsia="zh-CN"/>
              </w:rPr>
            </w:pPr>
            <w:r w:rsidRPr="00E84C7D">
              <w:rPr>
                <w:sz w:val="20"/>
                <w:szCs w:val="20"/>
                <w:lang w:eastAsia="zh-CN"/>
              </w:rPr>
              <w:t>-</w:t>
            </w:r>
            <w:r w:rsidRPr="00E84C7D">
              <w:rPr>
                <w:sz w:val="20"/>
                <w:szCs w:val="20"/>
                <w:lang w:eastAsia="zh-CN"/>
              </w:rPr>
              <w:tab/>
              <w:t xml:space="preserve">The UE has sent at least 1 L1-RSRP report for the target </w:t>
            </w:r>
            <w:r w:rsidRPr="00E84C7D">
              <w:rPr>
                <w:rFonts w:eastAsia="Malgun Gothic" w:cs="v4.2.0"/>
                <w:sz w:val="20"/>
                <w:szCs w:val="20"/>
                <w:lang w:eastAsia="zh-CN"/>
              </w:rPr>
              <w:t xml:space="preserve">uplink </w:t>
            </w:r>
            <w:r w:rsidRPr="00E84C7D">
              <w:rPr>
                <w:sz w:val="20"/>
                <w:szCs w:val="20"/>
                <w:lang w:eastAsia="zh-CN"/>
              </w:rPr>
              <w:t xml:space="preserve">TCI state before the </w:t>
            </w:r>
            <w:r w:rsidRPr="00E84C7D">
              <w:rPr>
                <w:rFonts w:eastAsia="Malgun Gothic" w:cs="v4.2.0"/>
                <w:sz w:val="20"/>
                <w:szCs w:val="20"/>
                <w:lang w:eastAsia="zh-CN"/>
              </w:rPr>
              <w:t xml:space="preserve">uplink </w:t>
            </w:r>
            <w:r w:rsidRPr="00E84C7D">
              <w:rPr>
                <w:sz w:val="20"/>
                <w:szCs w:val="20"/>
                <w:lang w:eastAsia="zh-CN"/>
              </w:rPr>
              <w:t>TCI state switch command</w:t>
            </w:r>
          </w:p>
          <w:p w14:paraId="281A2751" w14:textId="77777777" w:rsidR="00C85712" w:rsidRPr="00E84C7D" w:rsidRDefault="00C85712" w:rsidP="00C85712">
            <w:pPr>
              <w:pStyle w:val="B2"/>
              <w:rPr>
                <w:sz w:val="20"/>
                <w:szCs w:val="20"/>
                <w:lang w:eastAsia="zh-CN"/>
              </w:rPr>
            </w:pPr>
            <w:r w:rsidRPr="00E84C7D">
              <w:rPr>
                <w:sz w:val="20"/>
                <w:szCs w:val="20"/>
                <w:lang w:eastAsia="zh-CN"/>
              </w:rPr>
              <w:t>-</w:t>
            </w:r>
            <w:r w:rsidRPr="00E84C7D">
              <w:rPr>
                <w:sz w:val="20"/>
                <w:szCs w:val="20"/>
                <w:lang w:eastAsia="zh-CN"/>
              </w:rPr>
              <w:tab/>
              <w:t xml:space="preserve">The RS configured in </w:t>
            </w:r>
            <w:r w:rsidRPr="00E84C7D">
              <w:rPr>
                <w:sz w:val="20"/>
                <w:szCs w:val="20"/>
              </w:rPr>
              <w:t xml:space="preserve">target </w:t>
            </w:r>
            <w:r w:rsidRPr="00E84C7D">
              <w:rPr>
                <w:rFonts w:eastAsia="Malgun Gothic" w:cs="v4.2.0"/>
                <w:sz w:val="20"/>
                <w:szCs w:val="20"/>
                <w:lang w:eastAsia="zh-CN"/>
              </w:rPr>
              <w:t xml:space="preserve">uplink </w:t>
            </w:r>
            <w:r w:rsidRPr="00E84C7D">
              <w:rPr>
                <w:sz w:val="20"/>
                <w:szCs w:val="20"/>
                <w:lang w:eastAsia="zh-CN"/>
              </w:rPr>
              <w:t>TCI state remains detectable during the</w:t>
            </w:r>
            <w:r w:rsidRPr="00E84C7D">
              <w:rPr>
                <w:rFonts w:eastAsia="Malgun Gothic" w:cs="v4.2.0"/>
                <w:sz w:val="20"/>
                <w:szCs w:val="20"/>
                <w:lang w:eastAsia="zh-CN"/>
              </w:rPr>
              <w:t xml:space="preserve"> uplink </w:t>
            </w:r>
            <w:r w:rsidRPr="00E84C7D">
              <w:rPr>
                <w:sz w:val="20"/>
                <w:szCs w:val="20"/>
                <w:lang w:eastAsia="zh-CN"/>
              </w:rPr>
              <w:t>TCI state switching period</w:t>
            </w:r>
          </w:p>
          <w:p w14:paraId="0E630799" w14:textId="77777777" w:rsidR="00C85712" w:rsidRPr="00E84C7D" w:rsidRDefault="00C85712" w:rsidP="00C85712">
            <w:pPr>
              <w:pStyle w:val="B3"/>
              <w:rPr>
                <w:sz w:val="20"/>
                <w:szCs w:val="20"/>
                <w:lang w:eastAsia="zh-CN"/>
              </w:rPr>
            </w:pPr>
            <w:r w:rsidRPr="00E84C7D">
              <w:rPr>
                <w:sz w:val="20"/>
                <w:szCs w:val="20"/>
                <w:lang w:eastAsia="zh-CN"/>
              </w:rPr>
              <w:t>-</w:t>
            </w:r>
            <w:r w:rsidRPr="00E84C7D">
              <w:rPr>
                <w:sz w:val="20"/>
                <w:szCs w:val="20"/>
                <w:lang w:eastAsia="zh-CN"/>
              </w:rPr>
              <w:tab/>
              <w:t xml:space="preserve">SNR of the RS configured in target uplink TCI state </w:t>
            </w:r>
            <w:r w:rsidRPr="00E84C7D">
              <w:rPr>
                <w:rFonts w:eastAsia="Calibri"/>
                <w:sz w:val="20"/>
                <w:szCs w:val="20"/>
              </w:rPr>
              <w:t>≥</w:t>
            </w:r>
            <w:r w:rsidRPr="00E84C7D">
              <w:rPr>
                <w:sz w:val="20"/>
                <w:szCs w:val="20"/>
                <w:lang w:eastAsia="zh-CN"/>
              </w:rPr>
              <w:t xml:space="preserve"> -3dB</w:t>
            </w:r>
          </w:p>
          <w:p w14:paraId="082742C4" w14:textId="77777777" w:rsidR="00C85712" w:rsidRPr="00E84C7D" w:rsidRDefault="00C85712" w:rsidP="00C85712">
            <w:pPr>
              <w:pStyle w:val="B2"/>
              <w:rPr>
                <w:sz w:val="20"/>
                <w:szCs w:val="20"/>
                <w:lang w:eastAsia="zh-CN"/>
              </w:rPr>
            </w:pPr>
            <w:r w:rsidRPr="00E84C7D">
              <w:rPr>
                <w:sz w:val="20"/>
                <w:szCs w:val="20"/>
                <w:lang w:eastAsia="zh-CN"/>
              </w:rPr>
              <w:t>-</w:t>
            </w:r>
            <w:r w:rsidRPr="00E84C7D">
              <w:rPr>
                <w:sz w:val="20"/>
                <w:szCs w:val="20"/>
                <w:lang w:eastAsia="zh-CN"/>
              </w:rPr>
              <w:tab/>
              <w:t xml:space="preserve">The </w:t>
            </w:r>
            <w:r w:rsidRPr="00E84C7D">
              <w:rPr>
                <w:sz w:val="20"/>
                <w:szCs w:val="20"/>
              </w:rPr>
              <w:t xml:space="preserve">target </w:t>
            </w:r>
            <w:r w:rsidRPr="00E84C7D">
              <w:rPr>
                <w:rFonts w:eastAsia="Malgun Gothic" w:cs="v4.2.0"/>
                <w:sz w:val="20"/>
                <w:szCs w:val="20"/>
                <w:lang w:eastAsia="zh-CN"/>
              </w:rPr>
              <w:t xml:space="preserve">uplink </w:t>
            </w:r>
            <w:r w:rsidRPr="00E84C7D">
              <w:rPr>
                <w:sz w:val="20"/>
                <w:szCs w:val="20"/>
                <w:lang w:eastAsia="zh-CN"/>
              </w:rPr>
              <w:t>TCI state remains detectable during the</w:t>
            </w:r>
            <w:r w:rsidRPr="00E84C7D">
              <w:rPr>
                <w:rFonts w:eastAsia="Malgun Gothic" w:cs="v4.2.0"/>
                <w:sz w:val="20"/>
                <w:szCs w:val="20"/>
                <w:lang w:eastAsia="zh-CN"/>
              </w:rPr>
              <w:t xml:space="preserve"> uplink </w:t>
            </w:r>
            <w:r w:rsidRPr="00E84C7D">
              <w:rPr>
                <w:sz w:val="20"/>
                <w:szCs w:val="20"/>
                <w:lang w:eastAsia="zh-CN"/>
              </w:rPr>
              <w:t>TCI state switching period</w:t>
            </w:r>
          </w:p>
          <w:p w14:paraId="653905EF" w14:textId="77777777" w:rsidR="00C85712" w:rsidRPr="00E84C7D" w:rsidRDefault="00C85712" w:rsidP="00C85712">
            <w:pPr>
              <w:pStyle w:val="B2"/>
              <w:rPr>
                <w:sz w:val="20"/>
                <w:szCs w:val="20"/>
                <w:lang w:eastAsia="zh-CN"/>
              </w:rPr>
            </w:pPr>
            <w:r w:rsidRPr="00E84C7D">
              <w:rPr>
                <w:sz w:val="20"/>
                <w:szCs w:val="20"/>
                <w:lang w:eastAsia="zh-CN"/>
              </w:rPr>
              <w:t>-</w:t>
            </w:r>
            <w:r w:rsidRPr="00E84C7D">
              <w:rPr>
                <w:sz w:val="20"/>
                <w:szCs w:val="20"/>
                <w:lang w:eastAsia="zh-CN"/>
              </w:rPr>
              <w:tab/>
              <w:t xml:space="preserve">The SSB associated with the </w:t>
            </w:r>
            <w:r w:rsidRPr="00E84C7D">
              <w:rPr>
                <w:rFonts w:eastAsia="Malgun Gothic" w:cs="v4.2.0"/>
                <w:sz w:val="20"/>
                <w:szCs w:val="20"/>
                <w:lang w:eastAsia="zh-CN"/>
              </w:rPr>
              <w:t xml:space="preserve">uplink </w:t>
            </w:r>
            <w:r w:rsidRPr="00E84C7D">
              <w:rPr>
                <w:sz w:val="20"/>
                <w:szCs w:val="20"/>
                <w:lang w:eastAsia="zh-CN"/>
              </w:rPr>
              <w:t xml:space="preserve">TCI state remain detectable during the </w:t>
            </w:r>
            <w:r w:rsidRPr="00E84C7D">
              <w:rPr>
                <w:rFonts w:eastAsia="Malgun Gothic" w:cs="v4.2.0"/>
                <w:sz w:val="20"/>
                <w:szCs w:val="20"/>
                <w:lang w:eastAsia="zh-CN"/>
              </w:rPr>
              <w:t xml:space="preserve">uplink </w:t>
            </w:r>
            <w:r w:rsidRPr="00E84C7D">
              <w:rPr>
                <w:sz w:val="20"/>
                <w:szCs w:val="20"/>
                <w:lang w:eastAsia="zh-CN"/>
              </w:rPr>
              <w:t>TCI switching period</w:t>
            </w:r>
          </w:p>
          <w:p w14:paraId="57A58C85" w14:textId="77777777" w:rsidR="00C85712" w:rsidRPr="00E84C7D" w:rsidRDefault="00C85712" w:rsidP="00C85712">
            <w:pPr>
              <w:pStyle w:val="B3"/>
              <w:rPr>
                <w:sz w:val="20"/>
                <w:szCs w:val="20"/>
                <w:lang w:eastAsia="zh-CN"/>
              </w:rPr>
            </w:pPr>
            <w:r w:rsidRPr="00E84C7D">
              <w:rPr>
                <w:sz w:val="20"/>
                <w:szCs w:val="20"/>
                <w:lang w:eastAsia="zh-CN"/>
              </w:rPr>
              <w:t>-</w:t>
            </w:r>
            <w:r w:rsidRPr="00E84C7D">
              <w:rPr>
                <w:sz w:val="20"/>
                <w:szCs w:val="20"/>
                <w:lang w:eastAsia="zh-CN"/>
              </w:rPr>
              <w:tab/>
              <w:t xml:space="preserve">SNR of the </w:t>
            </w:r>
            <w:r w:rsidRPr="00E84C7D">
              <w:rPr>
                <w:rFonts w:eastAsia="Malgun Gothic" w:cs="v4.2.0"/>
                <w:sz w:val="20"/>
                <w:szCs w:val="20"/>
                <w:lang w:eastAsia="zh-CN"/>
              </w:rPr>
              <w:t xml:space="preserve">uplink </w:t>
            </w:r>
            <w:r w:rsidRPr="00E84C7D">
              <w:rPr>
                <w:sz w:val="20"/>
                <w:szCs w:val="20"/>
                <w:lang w:eastAsia="zh-CN"/>
              </w:rPr>
              <w:t xml:space="preserve">TCI state </w:t>
            </w:r>
            <w:r w:rsidRPr="00E84C7D">
              <w:rPr>
                <w:rFonts w:eastAsia="Calibri"/>
                <w:sz w:val="20"/>
                <w:szCs w:val="20"/>
              </w:rPr>
              <w:t>≥</w:t>
            </w:r>
            <w:r w:rsidRPr="00E84C7D">
              <w:rPr>
                <w:sz w:val="20"/>
                <w:szCs w:val="20"/>
                <w:lang w:eastAsia="zh-CN"/>
              </w:rPr>
              <w:t xml:space="preserve"> -3dB</w:t>
            </w:r>
          </w:p>
          <w:p w14:paraId="050CBD56" w14:textId="77777777" w:rsidR="00C85712" w:rsidRPr="00E84C7D" w:rsidRDefault="00C85712" w:rsidP="00C85712">
            <w:pPr>
              <w:pStyle w:val="B3"/>
              <w:rPr>
                <w:sz w:val="20"/>
                <w:szCs w:val="20"/>
                <w:lang w:eastAsia="zh-CN"/>
              </w:rPr>
            </w:pPr>
            <w:r w:rsidRPr="00E84C7D">
              <w:rPr>
                <w:sz w:val="20"/>
                <w:szCs w:val="20"/>
                <w:lang w:eastAsia="zh-CN"/>
              </w:rPr>
              <w:t>-</w:t>
            </w:r>
            <w:r w:rsidRPr="00E84C7D">
              <w:rPr>
                <w:sz w:val="20"/>
                <w:szCs w:val="20"/>
                <w:lang w:eastAsia="zh-CN"/>
              </w:rPr>
              <w:tab/>
              <w:t xml:space="preserve">The SSB can be associated with either the </w:t>
            </w:r>
            <w:r w:rsidRPr="00E84C7D">
              <w:rPr>
                <w:sz w:val="20"/>
                <w:szCs w:val="20"/>
              </w:rPr>
              <w:t>serving cell</w:t>
            </w:r>
            <w:r w:rsidRPr="00E84C7D">
              <w:rPr>
                <w:sz w:val="20"/>
                <w:szCs w:val="20"/>
                <w:lang w:eastAsia="zh-CN"/>
              </w:rPr>
              <w:t xml:space="preserve"> PCI or a PCI different from serving cell PCI.</w:t>
            </w:r>
          </w:p>
          <w:p w14:paraId="54C838C0" w14:textId="77777777" w:rsidR="00C85712" w:rsidRPr="00E84C7D" w:rsidRDefault="00C85712" w:rsidP="00C85712">
            <w:pPr>
              <w:rPr>
                <w:rFonts w:eastAsia="Malgun Gothic"/>
                <w:szCs w:val="20"/>
                <w:lang w:eastAsia="zh-CN"/>
              </w:rPr>
            </w:pPr>
            <w:r w:rsidRPr="00E84C7D">
              <w:rPr>
                <w:rFonts w:eastAsia="Malgun Gothic"/>
                <w:szCs w:val="20"/>
                <w:lang w:eastAsia="zh-CN"/>
              </w:rPr>
              <w:t xml:space="preserve">Otherwise, the </w:t>
            </w:r>
            <w:r w:rsidRPr="00E84C7D">
              <w:rPr>
                <w:rFonts w:eastAsia="Malgun Gothic" w:cs="v4.2.0"/>
                <w:szCs w:val="20"/>
                <w:lang w:eastAsia="zh-CN"/>
              </w:rPr>
              <w:t xml:space="preserve">uplink </w:t>
            </w:r>
            <w:r w:rsidRPr="00E84C7D">
              <w:rPr>
                <w:rFonts w:eastAsia="Malgun Gothic"/>
                <w:szCs w:val="20"/>
                <w:lang w:eastAsia="zh-CN"/>
              </w:rPr>
              <w:t>TCI state is unknown.</w:t>
            </w:r>
          </w:p>
          <w:p w14:paraId="7AF83D51" w14:textId="77777777" w:rsidR="00C85712" w:rsidRDefault="00C85712" w:rsidP="002B384E">
            <w:pPr>
              <w:rPr>
                <w:lang w:eastAsia="zh-CN"/>
              </w:rPr>
            </w:pPr>
          </w:p>
          <w:p w14:paraId="29D51131" w14:textId="77777777" w:rsidR="002B384E" w:rsidRDefault="002B384E" w:rsidP="002B384E">
            <w:pPr>
              <w:rPr>
                <w:lang w:val="en-GB" w:eastAsia="en-GB"/>
              </w:rPr>
            </w:pPr>
          </w:p>
        </w:tc>
      </w:tr>
    </w:tbl>
    <w:p w14:paraId="6CE58348" w14:textId="77777777" w:rsidR="00B561F2" w:rsidRDefault="00B561F2" w:rsidP="005E621F">
      <w:pPr>
        <w:rPr>
          <w:lang w:val="en-GB" w:eastAsia="en-GB"/>
        </w:rPr>
      </w:pPr>
    </w:p>
    <w:p w14:paraId="403D03BB" w14:textId="1F3B784E" w:rsidR="00A53C33" w:rsidRDefault="005E621F" w:rsidP="005E621F">
      <w:pPr>
        <w:rPr>
          <w:lang w:val="en-GB" w:eastAsia="en-GB"/>
        </w:rPr>
      </w:pPr>
      <w:r w:rsidRPr="001C0F20">
        <w:rPr>
          <w:lang w:val="en-GB" w:eastAsia="en-GB"/>
        </w:rPr>
        <w:t xml:space="preserve">RAN4 has discussed whether to introduce requirements for unknown </w:t>
      </w:r>
      <w:r w:rsidR="00CC3077" w:rsidRPr="001C0F20">
        <w:rPr>
          <w:lang w:val="en-GB" w:eastAsia="en-GB"/>
        </w:rPr>
        <w:t xml:space="preserve">target </w:t>
      </w:r>
      <w:r w:rsidRPr="001C0F20">
        <w:rPr>
          <w:lang w:val="en-GB" w:eastAsia="en-GB"/>
        </w:rPr>
        <w:t xml:space="preserve">TCI state. </w:t>
      </w:r>
      <w:r w:rsidR="00A02701">
        <w:rPr>
          <w:lang w:val="en-GB" w:eastAsia="en-GB"/>
        </w:rPr>
        <w:t xml:space="preserve">Before the TCI state is activated (before or at the cell switch), the TCI state can be considered either known or unknown. </w:t>
      </w:r>
      <w:r w:rsidR="00641DFC">
        <w:rPr>
          <w:lang w:val="en-GB" w:eastAsia="en-GB"/>
        </w:rPr>
        <w:t>In the existing TCI state switching requirements, the difference between the delay for known and unknown TCI states is the parameter T</w:t>
      </w:r>
      <w:r w:rsidR="00641DFC" w:rsidRPr="00F04CF8">
        <w:rPr>
          <w:vertAlign w:val="subscript"/>
          <w:lang w:val="en-GB" w:eastAsia="en-GB"/>
        </w:rPr>
        <w:t>L1-RSRP</w:t>
      </w:r>
      <w:r w:rsidR="00641DFC">
        <w:rPr>
          <w:lang w:val="en-GB" w:eastAsia="en-GB"/>
        </w:rPr>
        <w:t>, which consists of one L1 measurement period.</w:t>
      </w:r>
      <w:r w:rsidR="007E10A6">
        <w:rPr>
          <w:lang w:val="en-GB" w:eastAsia="en-GB"/>
        </w:rPr>
        <w:t xml:space="preserve"> For DCI-based TCI state indication, the requirements are only defined for known TCI states</w:t>
      </w:r>
      <w:r w:rsidR="007773DC">
        <w:rPr>
          <w:lang w:val="en-GB" w:eastAsia="en-GB"/>
        </w:rPr>
        <w:t>.</w:t>
      </w:r>
    </w:p>
    <w:p w14:paraId="7DC4A0A0" w14:textId="5A4543F3" w:rsidR="00A53C33" w:rsidRDefault="00641DFC" w:rsidP="005E621F">
      <w:pPr>
        <w:rPr>
          <w:lang w:val="en-GB" w:eastAsia="en-GB"/>
        </w:rPr>
      </w:pPr>
      <w:r>
        <w:rPr>
          <w:lang w:val="en-GB" w:eastAsia="en-GB"/>
        </w:rPr>
        <w:t>When the TCI state activation is done before the cell switch command</w:t>
      </w:r>
      <w:r w:rsidR="007E10A6">
        <w:rPr>
          <w:lang w:val="en-GB" w:eastAsia="en-GB"/>
        </w:rPr>
        <w:t xml:space="preserve">, </w:t>
      </w:r>
      <w:r w:rsidR="00FD61FF">
        <w:rPr>
          <w:lang w:val="en-GB" w:eastAsia="en-GB"/>
        </w:rPr>
        <w:t>both unknown and known cases may be considered</w:t>
      </w:r>
      <w:r w:rsidR="007E10A6">
        <w:rPr>
          <w:lang w:val="en-GB" w:eastAsia="en-GB"/>
        </w:rPr>
        <w:t>, since this does not impact the cell switch delay. However,</w:t>
      </w:r>
      <w:r w:rsidR="007773DC">
        <w:rPr>
          <w:lang w:val="en-GB" w:eastAsia="en-GB"/>
        </w:rPr>
        <w:t xml:space="preserve"> </w:t>
      </w:r>
      <w:r w:rsidR="006D23C9">
        <w:rPr>
          <w:lang w:val="en-GB" w:eastAsia="en-GB"/>
        </w:rPr>
        <w:t>when the TCI state is indicated (and activated) in the cell switch command</w:t>
      </w:r>
      <w:r w:rsidR="00470741">
        <w:rPr>
          <w:lang w:val="en-GB" w:eastAsia="en-GB"/>
        </w:rPr>
        <w:t xml:space="preserve">, </w:t>
      </w:r>
      <w:r w:rsidR="007773DC">
        <w:rPr>
          <w:lang w:val="en-GB" w:eastAsia="en-GB"/>
        </w:rPr>
        <w:t>to align with the DCI-based TCI state indication requirement</w:t>
      </w:r>
      <w:r w:rsidR="003E51DB">
        <w:rPr>
          <w:lang w:val="en-GB" w:eastAsia="en-GB"/>
        </w:rPr>
        <w:t xml:space="preserve"> that is only defined for the known </w:t>
      </w:r>
      <w:r w:rsidR="003E51DB">
        <w:rPr>
          <w:lang w:val="en-GB" w:eastAsia="en-GB"/>
        </w:rPr>
        <w:lastRenderedPageBreak/>
        <w:t>case</w:t>
      </w:r>
      <w:r w:rsidR="00A73DDA">
        <w:rPr>
          <w:lang w:val="en-GB" w:eastAsia="en-GB"/>
        </w:rPr>
        <w:t>, and to avoid long cell switch delay</w:t>
      </w:r>
      <w:r w:rsidR="00991AB6">
        <w:rPr>
          <w:lang w:val="en-GB" w:eastAsia="en-GB"/>
        </w:rPr>
        <w:t xml:space="preserve">, at the cell switch RAN4 may consider only the case when the </w:t>
      </w:r>
      <w:r w:rsidR="00C20B86">
        <w:rPr>
          <w:lang w:val="en-GB" w:eastAsia="en-GB"/>
        </w:rPr>
        <w:t xml:space="preserve">indicated (and activated) </w:t>
      </w:r>
      <w:r w:rsidR="00991AB6">
        <w:rPr>
          <w:lang w:val="en-GB" w:eastAsia="en-GB"/>
        </w:rPr>
        <w:t xml:space="preserve">TCI state </w:t>
      </w:r>
      <w:r w:rsidR="00C20B86">
        <w:rPr>
          <w:lang w:val="en-GB" w:eastAsia="en-GB"/>
        </w:rPr>
        <w:t>is known.</w:t>
      </w:r>
    </w:p>
    <w:p w14:paraId="3F55BA91" w14:textId="34F5D1F9" w:rsidR="00991D7C" w:rsidRPr="00991D7C" w:rsidRDefault="00630A45" w:rsidP="00CC3077">
      <w:pPr>
        <w:pStyle w:val="RAN4proposal"/>
        <w:rPr>
          <w:lang w:val="en-GB" w:eastAsia="en-GB"/>
        </w:rPr>
      </w:pPr>
      <w:bookmarkStart w:id="33" w:name="_Toc142661165"/>
      <w:bookmarkStart w:id="34" w:name="_Toc142661335"/>
      <w:bookmarkStart w:id="35" w:name="_Toc142661414"/>
      <w:bookmarkStart w:id="36" w:name="_Toc142661166"/>
      <w:bookmarkStart w:id="37" w:name="_Toc142661336"/>
      <w:bookmarkStart w:id="38" w:name="_Toc142661415"/>
      <w:bookmarkStart w:id="39" w:name="_Toc142661167"/>
      <w:bookmarkStart w:id="40" w:name="_Toc142661337"/>
      <w:bookmarkStart w:id="41" w:name="_Toc142661416"/>
      <w:bookmarkStart w:id="42" w:name="_Toc142661168"/>
      <w:bookmarkStart w:id="43" w:name="_Toc142661338"/>
      <w:bookmarkStart w:id="44" w:name="_Toc142661417"/>
      <w:bookmarkStart w:id="45" w:name="_Toc142661169"/>
      <w:bookmarkStart w:id="46" w:name="_Toc142661339"/>
      <w:bookmarkStart w:id="47" w:name="_Toc142661418"/>
      <w:bookmarkStart w:id="48" w:name="_Toc14266168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lang w:val="en-GB" w:eastAsia="en-GB"/>
        </w:rPr>
        <w:t xml:space="preserve">For TCI state indication </w:t>
      </w:r>
      <w:r w:rsidR="00E468C8">
        <w:rPr>
          <w:lang w:val="en-GB" w:eastAsia="en-GB"/>
        </w:rPr>
        <w:t xml:space="preserve">(and activation) </w:t>
      </w:r>
      <w:r>
        <w:rPr>
          <w:lang w:val="en-GB" w:eastAsia="en-GB"/>
        </w:rPr>
        <w:t xml:space="preserve">at the cell switch command, define the requirements for </w:t>
      </w:r>
      <w:r w:rsidR="00D257F1">
        <w:rPr>
          <w:lang w:val="en-GB" w:eastAsia="en-GB"/>
        </w:rPr>
        <w:t xml:space="preserve">a </w:t>
      </w:r>
      <w:r>
        <w:rPr>
          <w:lang w:val="en-GB" w:eastAsia="en-GB"/>
        </w:rPr>
        <w:t>known target TCI state.</w:t>
      </w:r>
      <w:bookmarkEnd w:id="48"/>
    </w:p>
    <w:p w14:paraId="57680321" w14:textId="1F8A23A3" w:rsidR="00250989" w:rsidRDefault="00250989" w:rsidP="00622F03">
      <w:r>
        <w:t xml:space="preserve">However, taking into account </w:t>
      </w:r>
      <w:r w:rsidR="00E179CD">
        <w:t>P</w:t>
      </w:r>
      <w:r>
        <w:t xml:space="preserve">roposal 9, </w:t>
      </w:r>
      <w:r w:rsidR="00E179CD">
        <w:t xml:space="preserve">it is not clear what is the expected UE behavior if </w:t>
      </w:r>
      <w:r w:rsidR="00712059">
        <w:t xml:space="preserve">the network indicates an unknown target TCI state in the LTM cell switch command. Considering that such an event may occur, </w:t>
      </w:r>
      <w:r>
        <w:t>RAN4 should clarify what is the expected UE behavior if the target TCI state at LTM cell switch is unknown.</w:t>
      </w:r>
    </w:p>
    <w:p w14:paraId="799CD10A" w14:textId="1AE4BC17" w:rsidR="00D011A5" w:rsidRDefault="00D011A5" w:rsidP="00D011A5">
      <w:pPr>
        <w:pStyle w:val="RAN4proposal"/>
      </w:pPr>
      <w:bookmarkStart w:id="49" w:name="_Toc142661685"/>
      <w:r>
        <w:t>RAN4 to clarify the expected UE behavior if the target TCI state at LTM cell switch command is unknown.</w:t>
      </w:r>
      <w:bookmarkEnd w:id="49"/>
    </w:p>
    <w:p w14:paraId="6346D1E2" w14:textId="74B4CEA2" w:rsidR="00FC656E" w:rsidRPr="00FC656E" w:rsidRDefault="00A84012" w:rsidP="00622F03">
      <w:pPr>
        <w:rPr>
          <w:lang w:val="en-GB"/>
        </w:rPr>
      </w:pPr>
      <w:r w:rsidRPr="00F04CF8">
        <w:t xml:space="preserve">We have discussed </w:t>
      </w:r>
      <w:r w:rsidR="00F57227">
        <w:t xml:space="preserve">the </w:t>
      </w:r>
      <w:r w:rsidRPr="00F04CF8">
        <w:t xml:space="preserve">details of TCI state switching </w:t>
      </w:r>
      <w:r w:rsidR="003E51DB">
        <w:t xml:space="preserve">before the cell switch command </w:t>
      </w:r>
      <w:r w:rsidRPr="00F04CF8">
        <w:t xml:space="preserve">in our companion contribution </w:t>
      </w:r>
      <w:r w:rsidR="00F57227" w:rsidRPr="00F57227">
        <w:t>R4-2312523</w:t>
      </w:r>
      <w:r w:rsidRPr="00F04CF8">
        <w:t>.</w:t>
      </w:r>
    </w:p>
    <w:p w14:paraId="4F11FA96" w14:textId="77777777" w:rsidR="00CD7492" w:rsidRPr="008C39F7" w:rsidRDefault="00CD7492" w:rsidP="00CC3077">
      <w:pPr>
        <w:pStyle w:val="RAN4H1"/>
      </w:pPr>
      <w:bookmarkStart w:id="50" w:name="_Toc116995848"/>
      <w:r w:rsidRPr="008C39F7">
        <w:t>Conclusion</w:t>
      </w:r>
      <w:bookmarkEnd w:id="50"/>
    </w:p>
    <w:p w14:paraId="3AA49FB7" w14:textId="5F942604" w:rsidR="00D011A5" w:rsidRDefault="00A4355E">
      <w:pPr>
        <w:pStyle w:val="TOC5"/>
        <w:rPr>
          <w:rFonts w:asciiTheme="minorHAnsi" w:eastAsiaTheme="minorEastAsia" w:hAnsiTheme="minorHAnsi"/>
          <w:b w:val="0"/>
          <w:noProof/>
          <w:kern w:val="2"/>
          <w:sz w:val="22"/>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2661676" w:history="1">
        <w:r w:rsidR="00D011A5" w:rsidRPr="008F4D0D">
          <w:rPr>
            <w:rStyle w:val="Hyperlink"/>
            <w:noProof/>
          </w:rPr>
          <w:t>Proposal 1: RACH-less cell switch delay ending point for PCell/PSCell is when the UE transmits RRC reconfiguration complete to the target cell.</w:t>
        </w:r>
      </w:hyperlink>
    </w:p>
    <w:p w14:paraId="588FF0D1" w14:textId="344FC1B4" w:rsidR="00D011A5" w:rsidRDefault="00000000">
      <w:pPr>
        <w:pStyle w:val="TOC5"/>
        <w:rPr>
          <w:rFonts w:asciiTheme="minorHAnsi" w:eastAsiaTheme="minorEastAsia" w:hAnsiTheme="minorHAnsi"/>
          <w:b w:val="0"/>
          <w:noProof/>
          <w:kern w:val="2"/>
          <w:sz w:val="22"/>
          <w14:ligatures w14:val="standardContextual"/>
        </w:rPr>
      </w:pPr>
      <w:hyperlink w:anchor="_Toc142661677" w:history="1">
        <w:r w:rsidR="00D011A5" w:rsidRPr="008F4D0D">
          <w:rPr>
            <w:rStyle w:val="Hyperlink"/>
            <w:noProof/>
          </w:rPr>
          <w:t>Proposal 2: Some of the RRC processing can be done prior to the cell switch command to reduce the cell switch delay. FFS which parts of the processing are done before and after the cell switch command.</w:t>
        </w:r>
      </w:hyperlink>
    </w:p>
    <w:p w14:paraId="25166AC1" w14:textId="521DDA15" w:rsidR="00D011A5" w:rsidRDefault="00000000">
      <w:pPr>
        <w:pStyle w:val="TOC5"/>
        <w:rPr>
          <w:rFonts w:asciiTheme="minorHAnsi" w:eastAsiaTheme="minorEastAsia" w:hAnsiTheme="minorHAnsi"/>
          <w:b w:val="0"/>
          <w:noProof/>
          <w:kern w:val="2"/>
          <w:sz w:val="22"/>
          <w14:ligatures w14:val="standardContextual"/>
        </w:rPr>
      </w:pPr>
      <w:hyperlink w:anchor="_Toc142661678" w:history="1">
        <w:r w:rsidR="00D011A5" w:rsidRPr="008F4D0D">
          <w:rPr>
            <w:rStyle w:val="Hyperlink"/>
            <w:noProof/>
          </w:rPr>
          <w:t>Proposal 3: When the target cell is a current serving cell, TLTM-processing = 0.</w:t>
        </w:r>
      </w:hyperlink>
    </w:p>
    <w:p w14:paraId="680A2602" w14:textId="7B5E00EA" w:rsidR="00D011A5" w:rsidRDefault="00000000">
      <w:pPr>
        <w:pStyle w:val="TOC5"/>
        <w:rPr>
          <w:rFonts w:asciiTheme="minorHAnsi" w:eastAsiaTheme="minorEastAsia" w:hAnsiTheme="minorHAnsi"/>
          <w:b w:val="0"/>
          <w:noProof/>
          <w:kern w:val="2"/>
          <w:sz w:val="22"/>
          <w14:ligatures w14:val="standardContextual"/>
        </w:rPr>
      </w:pPr>
      <w:hyperlink w:anchor="_Toc142661679" w:history="1">
        <w:r w:rsidR="00D011A5" w:rsidRPr="008F4D0D">
          <w:rPr>
            <w:rStyle w:val="Hyperlink"/>
            <w:noProof/>
          </w:rPr>
          <w:t>Proposal 4: In Rel-18, because RAN4 agreed to define requirements only for a known target cell, the value for T</w:t>
        </w:r>
        <w:r w:rsidR="00D011A5" w:rsidRPr="008F4D0D">
          <w:rPr>
            <w:rStyle w:val="Hyperlink"/>
            <w:noProof/>
            <w:vertAlign w:val="subscript"/>
          </w:rPr>
          <w:t>search</w:t>
        </w:r>
        <w:r w:rsidR="00D011A5" w:rsidRPr="008F4D0D">
          <w:rPr>
            <w:rStyle w:val="Hyperlink"/>
            <w:noProof/>
          </w:rPr>
          <w:t xml:space="preserve"> is always zero. Hence, do not include T</w:t>
        </w:r>
        <w:r w:rsidR="00D011A5" w:rsidRPr="008F4D0D">
          <w:rPr>
            <w:rStyle w:val="Hyperlink"/>
            <w:noProof/>
            <w:vertAlign w:val="subscript"/>
          </w:rPr>
          <w:t>search</w:t>
        </w:r>
        <w:r w:rsidR="00D011A5" w:rsidRPr="008F4D0D">
          <w:rPr>
            <w:rStyle w:val="Hyperlink"/>
            <w:noProof/>
          </w:rPr>
          <w:t xml:space="preserve"> in the LTM cell switch delay equation.</w:t>
        </w:r>
      </w:hyperlink>
    </w:p>
    <w:p w14:paraId="686107E5" w14:textId="607D5AC2" w:rsidR="00D011A5" w:rsidRDefault="00000000">
      <w:pPr>
        <w:pStyle w:val="TOC5"/>
        <w:rPr>
          <w:rFonts w:asciiTheme="minorHAnsi" w:eastAsiaTheme="minorEastAsia" w:hAnsiTheme="minorHAnsi"/>
          <w:b w:val="0"/>
          <w:noProof/>
          <w:kern w:val="2"/>
          <w:sz w:val="22"/>
          <w14:ligatures w14:val="standardContextual"/>
        </w:rPr>
      </w:pPr>
      <w:hyperlink w:anchor="_Toc142661680" w:history="1">
        <w:r w:rsidR="00D011A5" w:rsidRPr="008F4D0D">
          <w:rPr>
            <w:rStyle w:val="Hyperlink"/>
            <w:noProof/>
          </w:rPr>
          <w:t>Proposal 5: If TCI state activation is done before the LTM cell switch command, T</w:t>
        </w:r>
        <w:r w:rsidR="00D011A5" w:rsidRPr="008F4D0D">
          <w:rPr>
            <w:rStyle w:val="Hyperlink"/>
            <w:noProof/>
            <w:vertAlign w:val="subscript"/>
          </w:rPr>
          <w:t>∆</w:t>
        </w:r>
        <w:r w:rsidR="00D011A5" w:rsidRPr="008F4D0D">
          <w:rPr>
            <w:rStyle w:val="Hyperlink"/>
            <w:noProof/>
          </w:rPr>
          <w:t xml:space="preserve"> and T</w:t>
        </w:r>
        <w:r w:rsidR="00D011A5" w:rsidRPr="008F4D0D">
          <w:rPr>
            <w:rStyle w:val="Hyperlink"/>
            <w:noProof/>
            <w:vertAlign w:val="subscript"/>
          </w:rPr>
          <w:t>margin</w:t>
        </w:r>
        <w:r w:rsidR="00D011A5" w:rsidRPr="008F4D0D">
          <w:rPr>
            <w:rStyle w:val="Hyperlink"/>
            <w:noProof/>
          </w:rPr>
          <w:t xml:space="preserve"> have value zero.</w:t>
        </w:r>
      </w:hyperlink>
    </w:p>
    <w:p w14:paraId="6D78CEFB" w14:textId="2AF384A7" w:rsidR="00D011A5" w:rsidRDefault="00000000">
      <w:pPr>
        <w:pStyle w:val="TOC5"/>
        <w:rPr>
          <w:rFonts w:asciiTheme="minorHAnsi" w:eastAsiaTheme="minorEastAsia" w:hAnsiTheme="minorHAnsi"/>
          <w:b w:val="0"/>
          <w:noProof/>
          <w:kern w:val="2"/>
          <w:sz w:val="22"/>
          <w14:ligatures w14:val="standardContextual"/>
        </w:rPr>
      </w:pPr>
      <w:hyperlink w:anchor="_Toc142661681" w:history="1">
        <w:r w:rsidR="00D011A5" w:rsidRPr="008F4D0D">
          <w:rPr>
            <w:rStyle w:val="Hyperlink"/>
            <w:noProof/>
          </w:rPr>
          <w:t>Proposal 6: If TCI state activation is done at the cell switch command, use legacy values for T</w:t>
        </w:r>
        <w:r w:rsidR="00D011A5" w:rsidRPr="008F4D0D">
          <w:rPr>
            <w:rStyle w:val="Hyperlink"/>
            <w:noProof/>
            <w:vertAlign w:val="subscript"/>
          </w:rPr>
          <w:t>∆</w:t>
        </w:r>
        <w:r w:rsidR="00D011A5" w:rsidRPr="008F4D0D">
          <w:rPr>
            <w:rStyle w:val="Hyperlink"/>
            <w:noProof/>
          </w:rPr>
          <w:t xml:space="preserve"> and T</w:t>
        </w:r>
        <w:r w:rsidR="00D011A5" w:rsidRPr="008F4D0D">
          <w:rPr>
            <w:rStyle w:val="Hyperlink"/>
            <w:noProof/>
            <w:vertAlign w:val="subscript"/>
          </w:rPr>
          <w:t>margin</w:t>
        </w:r>
        <w:r w:rsidR="00D011A5" w:rsidRPr="008F4D0D">
          <w:rPr>
            <w:rStyle w:val="Hyperlink"/>
            <w:noProof/>
          </w:rPr>
          <w:t xml:space="preserve"> as the baseline, considering any necessary alignment in the definition of T</w:t>
        </w:r>
        <w:r w:rsidR="00D011A5" w:rsidRPr="008F4D0D">
          <w:rPr>
            <w:rStyle w:val="Hyperlink"/>
            <w:noProof/>
            <w:vertAlign w:val="subscript"/>
          </w:rPr>
          <w:t>∆</w:t>
        </w:r>
        <w:r w:rsidR="00D011A5" w:rsidRPr="008F4D0D">
          <w:rPr>
            <w:rStyle w:val="Hyperlink"/>
            <w:noProof/>
          </w:rPr>
          <w:t xml:space="preserve"> (T</w:t>
        </w:r>
        <w:r w:rsidR="00D011A5" w:rsidRPr="008F4D0D">
          <w:rPr>
            <w:rStyle w:val="Hyperlink"/>
            <w:noProof/>
            <w:vertAlign w:val="subscript"/>
          </w:rPr>
          <w:t>RS</w:t>
        </w:r>
        <w:r w:rsidR="00D011A5" w:rsidRPr="008F4D0D">
          <w:rPr>
            <w:rStyle w:val="Hyperlink"/>
            <w:noProof/>
          </w:rPr>
          <w:t>) to correspond with the definition of T</w:t>
        </w:r>
        <w:r w:rsidR="00D011A5" w:rsidRPr="008F4D0D">
          <w:rPr>
            <w:rStyle w:val="Hyperlink"/>
            <w:noProof/>
            <w:vertAlign w:val="subscript"/>
          </w:rPr>
          <w:t>first-SSB</w:t>
        </w:r>
        <w:r w:rsidR="00D011A5" w:rsidRPr="008F4D0D">
          <w:rPr>
            <w:rStyle w:val="Hyperlink"/>
            <w:noProof/>
          </w:rPr>
          <w:t xml:space="preserve"> in the legacy TCI state switching delay requirement.</w:t>
        </w:r>
      </w:hyperlink>
    </w:p>
    <w:p w14:paraId="4EA95783" w14:textId="136D808D" w:rsidR="00D011A5" w:rsidRDefault="00000000">
      <w:pPr>
        <w:pStyle w:val="TOC5"/>
        <w:rPr>
          <w:rFonts w:asciiTheme="minorHAnsi" w:eastAsiaTheme="minorEastAsia" w:hAnsiTheme="minorHAnsi"/>
          <w:b w:val="0"/>
          <w:noProof/>
          <w:kern w:val="2"/>
          <w:sz w:val="22"/>
          <w14:ligatures w14:val="standardContextual"/>
        </w:rPr>
      </w:pPr>
      <w:hyperlink w:anchor="_Toc142661682" w:history="1">
        <w:r w:rsidR="00D011A5" w:rsidRPr="008F4D0D">
          <w:rPr>
            <w:rStyle w:val="Hyperlink"/>
            <w:noProof/>
          </w:rPr>
          <w:t>Proposal 7: If random access can be completed before the cell switch command (RACH-less cell switch), T</w:t>
        </w:r>
        <w:r w:rsidR="00D011A5" w:rsidRPr="008F4D0D">
          <w:rPr>
            <w:rStyle w:val="Hyperlink"/>
            <w:noProof/>
            <w:vertAlign w:val="subscript"/>
          </w:rPr>
          <w:t xml:space="preserve">IU </w:t>
        </w:r>
        <w:r w:rsidR="00D011A5" w:rsidRPr="008F4D0D">
          <w:rPr>
            <w:rStyle w:val="Hyperlink"/>
            <w:noProof/>
          </w:rPr>
          <w:t>= 0.</w:t>
        </w:r>
      </w:hyperlink>
    </w:p>
    <w:p w14:paraId="518F1ED2" w14:textId="144F099C" w:rsidR="00D011A5" w:rsidRDefault="00000000">
      <w:pPr>
        <w:pStyle w:val="TOC5"/>
        <w:rPr>
          <w:rFonts w:asciiTheme="minorHAnsi" w:eastAsiaTheme="minorEastAsia" w:hAnsiTheme="minorHAnsi"/>
          <w:b w:val="0"/>
          <w:noProof/>
          <w:kern w:val="2"/>
          <w:sz w:val="22"/>
          <w14:ligatures w14:val="standardContextual"/>
        </w:rPr>
      </w:pPr>
      <w:hyperlink w:anchor="_Toc142661683" w:history="1">
        <w:r w:rsidR="00D011A5" w:rsidRPr="008F4D0D">
          <w:rPr>
            <w:rStyle w:val="Hyperlink"/>
            <w:noProof/>
          </w:rPr>
          <w:t>Proposal 8: When random access happens after the cell switch command (RACH-based cell switch), legacy definition of T</w:t>
        </w:r>
        <w:r w:rsidR="00D011A5" w:rsidRPr="008F4D0D">
          <w:rPr>
            <w:rStyle w:val="Hyperlink"/>
            <w:noProof/>
            <w:vertAlign w:val="subscript"/>
          </w:rPr>
          <w:t>IU</w:t>
        </w:r>
        <w:r w:rsidR="00D011A5" w:rsidRPr="008F4D0D">
          <w:rPr>
            <w:rStyle w:val="Hyperlink"/>
            <w:noProof/>
          </w:rPr>
          <w:t xml:space="preserve"> can be used as the baseline.</w:t>
        </w:r>
      </w:hyperlink>
    </w:p>
    <w:p w14:paraId="7A9E3D25" w14:textId="535D698C" w:rsidR="00D011A5" w:rsidRDefault="00000000">
      <w:pPr>
        <w:pStyle w:val="TOC5"/>
        <w:rPr>
          <w:rFonts w:asciiTheme="minorHAnsi" w:eastAsiaTheme="minorEastAsia" w:hAnsiTheme="minorHAnsi"/>
          <w:b w:val="0"/>
          <w:noProof/>
          <w:kern w:val="2"/>
          <w:sz w:val="22"/>
          <w14:ligatures w14:val="standardContextual"/>
        </w:rPr>
      </w:pPr>
      <w:hyperlink w:anchor="_Toc142661684" w:history="1">
        <w:r w:rsidR="00D011A5" w:rsidRPr="008F4D0D">
          <w:rPr>
            <w:rStyle w:val="Hyperlink"/>
            <w:noProof/>
            <w:lang w:val="en-GB" w:eastAsia="en-GB"/>
          </w:rPr>
          <w:t>Proposal 9: For TCI state indication (and activation) at the cell switch command, define the requirements for a known target TCI state.</w:t>
        </w:r>
      </w:hyperlink>
    </w:p>
    <w:p w14:paraId="239CB2FF" w14:textId="3EBD4E94" w:rsidR="00D011A5" w:rsidRDefault="00000000">
      <w:pPr>
        <w:pStyle w:val="TOC5"/>
        <w:rPr>
          <w:rFonts w:asciiTheme="minorHAnsi" w:eastAsiaTheme="minorEastAsia" w:hAnsiTheme="minorHAnsi"/>
          <w:b w:val="0"/>
          <w:noProof/>
          <w:kern w:val="2"/>
          <w:sz w:val="22"/>
          <w14:ligatures w14:val="standardContextual"/>
        </w:rPr>
      </w:pPr>
      <w:hyperlink w:anchor="_Toc142661685" w:history="1">
        <w:r w:rsidR="00D011A5" w:rsidRPr="008F4D0D">
          <w:rPr>
            <w:rStyle w:val="Hyperlink"/>
            <w:noProof/>
          </w:rPr>
          <w:t>Proposal 10: RAN4 to clarify the expected UE behavior if the target TCI state at LTM cell switch command is unknown.</w:t>
        </w:r>
      </w:hyperlink>
    </w:p>
    <w:p w14:paraId="4095D0A3" w14:textId="4D8BB288" w:rsidR="008C39F7" w:rsidRPr="008C39F7" w:rsidRDefault="00A4355E" w:rsidP="008C39F7">
      <w:r w:rsidRPr="008C39F7">
        <w:fldChar w:fldCharType="end"/>
      </w:r>
      <w:bookmarkStart w:id="51" w:name="_Toc116995849"/>
    </w:p>
    <w:bookmarkEnd w:id="51"/>
    <w:p w14:paraId="722B2E48" w14:textId="77777777" w:rsidR="00B337C0" w:rsidRPr="008C39F7" w:rsidRDefault="00B337C0" w:rsidP="00B337C0">
      <w:pPr>
        <w:pStyle w:val="RAN4H1"/>
        <w:numPr>
          <w:ilvl w:val="0"/>
          <w:numId w:val="0"/>
        </w:numPr>
        <w:ind w:left="360" w:hanging="360"/>
      </w:pPr>
      <w:r w:rsidRPr="008C39F7">
        <w:t>References</w:t>
      </w:r>
    </w:p>
    <w:p w14:paraId="7D9B78A3" w14:textId="77777777" w:rsidR="00B337C0" w:rsidRPr="008C39F7" w:rsidRDefault="00B337C0" w:rsidP="00CC3077">
      <w:pPr>
        <w:pStyle w:val="ListParagraph"/>
        <w:numPr>
          <w:ilvl w:val="0"/>
          <w:numId w:val="5"/>
        </w:numPr>
        <w:spacing w:after="0" w:line="240" w:lineRule="auto"/>
        <w:ind w:right="-22"/>
        <w:jc w:val="left"/>
      </w:pPr>
      <w:bookmarkStart w:id="52" w:name="_Ref114500673"/>
      <w:bookmarkEnd w:id="52"/>
      <w:r w:rsidRPr="00151838">
        <w:t>R4-2306395</w:t>
      </w:r>
      <w:r w:rsidRPr="008C39F7">
        <w:t xml:space="preserve">, </w:t>
      </w:r>
      <w:r w:rsidRPr="00D51D84">
        <w:t>WF on NR Mobility Enhancements RRM requirements (part 1)</w:t>
      </w:r>
      <w:r w:rsidRPr="008C39F7">
        <w:t xml:space="preserve">, </w:t>
      </w:r>
      <w:r w:rsidRPr="00D51D84">
        <w:t>MediaTek Inc.</w:t>
      </w:r>
      <w:r w:rsidRPr="008C39F7">
        <w:t xml:space="preserve">, </w:t>
      </w:r>
      <w:r w:rsidRPr="004B2755">
        <w:t>3GPP TSG-RAN WG4 Meeting # 106-bis-e</w:t>
      </w:r>
      <w:r>
        <w:t>, Electronic meeting</w:t>
      </w:r>
      <w:r w:rsidRPr="008C39F7">
        <w:t xml:space="preserve">, </w:t>
      </w:r>
      <w:r w:rsidRPr="004B2755">
        <w:t>17 April –26 April, 2023</w:t>
      </w:r>
      <w:r w:rsidRPr="008C39F7">
        <w:t xml:space="preserve">. </w:t>
      </w:r>
    </w:p>
    <w:p w14:paraId="2D39A6EE" w14:textId="77777777" w:rsidR="000040DC" w:rsidRPr="008C39F7" w:rsidRDefault="000040DC" w:rsidP="000040DC">
      <w:pPr>
        <w:ind w:right="-22"/>
        <w:rPr>
          <w:highlight w:val="yellow"/>
        </w:rPr>
      </w:pPr>
    </w:p>
    <w:p w14:paraId="7F351DC1"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004E5" w14:textId="77777777" w:rsidR="007C1547" w:rsidRDefault="007C1547" w:rsidP="00001C9B">
      <w:pPr>
        <w:spacing w:after="0" w:line="240" w:lineRule="auto"/>
      </w:pPr>
      <w:r>
        <w:separator/>
      </w:r>
    </w:p>
  </w:endnote>
  <w:endnote w:type="continuationSeparator" w:id="0">
    <w:p w14:paraId="13648E9F" w14:textId="77777777" w:rsidR="007C1547" w:rsidRDefault="007C1547" w:rsidP="00001C9B">
      <w:pPr>
        <w:spacing w:after="0" w:line="240" w:lineRule="auto"/>
      </w:pPr>
      <w:r>
        <w:continuationSeparator/>
      </w:r>
    </w:p>
  </w:endnote>
  <w:endnote w:type="continuationNotice" w:id="1">
    <w:p w14:paraId="4DA70DE4" w14:textId="77777777" w:rsidR="007C1547" w:rsidRDefault="007C15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8F5F9" w14:textId="77777777" w:rsidR="007C1547" w:rsidRDefault="007C1547" w:rsidP="00001C9B">
      <w:pPr>
        <w:spacing w:after="0" w:line="240" w:lineRule="auto"/>
      </w:pPr>
      <w:r>
        <w:separator/>
      </w:r>
    </w:p>
  </w:footnote>
  <w:footnote w:type="continuationSeparator" w:id="0">
    <w:p w14:paraId="6DDF3393" w14:textId="77777777" w:rsidR="007C1547" w:rsidRDefault="007C1547" w:rsidP="00001C9B">
      <w:pPr>
        <w:spacing w:after="0" w:line="240" w:lineRule="auto"/>
      </w:pPr>
      <w:r>
        <w:continuationSeparator/>
      </w:r>
    </w:p>
  </w:footnote>
  <w:footnote w:type="continuationNotice" w:id="1">
    <w:p w14:paraId="43B6A317" w14:textId="77777777" w:rsidR="007C1547" w:rsidRDefault="007C15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651A"/>
    <w:multiLevelType w:val="hybridMultilevel"/>
    <w:tmpl w:val="9386E5E0"/>
    <w:lvl w:ilvl="0" w:tplc="547C728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84A68"/>
    <w:multiLevelType w:val="hybridMultilevel"/>
    <w:tmpl w:val="AFF00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734E8"/>
    <w:multiLevelType w:val="multilevel"/>
    <w:tmpl w:val="CC381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87334B"/>
    <w:multiLevelType w:val="multilevel"/>
    <w:tmpl w:val="0CA8C7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B20FE0"/>
    <w:multiLevelType w:val="hybridMultilevel"/>
    <w:tmpl w:val="3E467A12"/>
    <w:lvl w:ilvl="0" w:tplc="5CACD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CC65BB"/>
    <w:multiLevelType w:val="hybridMultilevel"/>
    <w:tmpl w:val="83B8B20E"/>
    <w:lvl w:ilvl="0" w:tplc="B5E00B7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D212FD"/>
    <w:multiLevelType w:val="multilevel"/>
    <w:tmpl w:val="3DE2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FB7A50"/>
    <w:multiLevelType w:val="hybridMultilevel"/>
    <w:tmpl w:val="4240E3F4"/>
    <w:lvl w:ilvl="0" w:tplc="08F4F0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B51536"/>
    <w:multiLevelType w:val="multilevel"/>
    <w:tmpl w:val="B852C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F0E07"/>
    <w:multiLevelType w:val="hybridMultilevel"/>
    <w:tmpl w:val="54CEF582"/>
    <w:lvl w:ilvl="0" w:tplc="822075A2">
      <w:start w:val="1"/>
      <w:numFmt w:val="bullet"/>
      <w:lvlText w:val="-"/>
      <w:lvlJc w:val="left"/>
      <w:pPr>
        <w:ind w:left="929" w:hanging="360"/>
      </w:pPr>
      <w:rPr>
        <w:rFonts w:ascii="Times New Roman" w:eastAsia="Times New Roman"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67F1DA2"/>
    <w:multiLevelType w:val="multilevel"/>
    <w:tmpl w:val="2B28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7413A8"/>
    <w:multiLevelType w:val="multilevel"/>
    <w:tmpl w:val="AC92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BA15F61"/>
    <w:multiLevelType w:val="hybridMultilevel"/>
    <w:tmpl w:val="B8DC4C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FD34A83"/>
    <w:multiLevelType w:val="multilevel"/>
    <w:tmpl w:val="A1D8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B02CE3"/>
    <w:multiLevelType w:val="multilevel"/>
    <w:tmpl w:val="7474DF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DB72FCE"/>
    <w:multiLevelType w:val="multilevel"/>
    <w:tmpl w:val="7406A2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2"/>
  </w:num>
  <w:num w:numId="2" w16cid:durableId="80681869">
    <w:abstractNumId w:val="9"/>
  </w:num>
  <w:num w:numId="3" w16cid:durableId="1566528953">
    <w:abstractNumId w:val="11"/>
  </w:num>
  <w:num w:numId="4" w16cid:durableId="1456096507">
    <w:abstractNumId w:val="17"/>
  </w:num>
  <w:num w:numId="5" w16cid:durableId="1659071369">
    <w:abstractNumId w:val="15"/>
  </w:num>
  <w:num w:numId="6" w16cid:durableId="143009612">
    <w:abstractNumId w:val="1"/>
  </w:num>
  <w:num w:numId="7" w16cid:durableId="1270044137">
    <w:abstractNumId w:val="10"/>
  </w:num>
  <w:num w:numId="8" w16cid:durableId="248004844">
    <w:abstractNumId w:val="22"/>
  </w:num>
  <w:num w:numId="9" w16cid:durableId="1434012751">
    <w:abstractNumId w:val="8"/>
  </w:num>
  <w:num w:numId="10" w16cid:durableId="1777140176">
    <w:abstractNumId w:val="13"/>
  </w:num>
  <w:num w:numId="11" w16cid:durableId="1124270697">
    <w:abstractNumId w:val="18"/>
  </w:num>
  <w:num w:numId="12" w16cid:durableId="1928733497">
    <w:abstractNumId w:val="23"/>
  </w:num>
  <w:num w:numId="13" w16cid:durableId="76904607">
    <w:abstractNumId w:val="4"/>
  </w:num>
  <w:num w:numId="14" w16cid:durableId="165287457">
    <w:abstractNumId w:val="0"/>
  </w:num>
  <w:num w:numId="15" w16cid:durableId="449322856">
    <w:abstractNumId w:val="5"/>
  </w:num>
  <w:num w:numId="16" w16cid:durableId="2009211944">
    <w:abstractNumId w:val="3"/>
  </w:num>
  <w:num w:numId="17" w16cid:durableId="1559323755">
    <w:abstractNumId w:val="7"/>
  </w:num>
  <w:num w:numId="18" w16cid:durableId="2138602343">
    <w:abstractNumId w:val="16"/>
  </w:num>
  <w:num w:numId="19" w16cid:durableId="1974094471">
    <w:abstractNumId w:val="14"/>
  </w:num>
  <w:num w:numId="20" w16cid:durableId="101268043">
    <w:abstractNumId w:val="19"/>
  </w:num>
  <w:num w:numId="21" w16cid:durableId="481972489">
    <w:abstractNumId w:val="21"/>
  </w:num>
  <w:num w:numId="22" w16cid:durableId="111094448">
    <w:abstractNumId w:val="2"/>
  </w:num>
  <w:num w:numId="23" w16cid:durableId="769545573">
    <w:abstractNumId w:val="6"/>
  </w:num>
  <w:num w:numId="24" w16cid:durableId="186308513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20CC"/>
    <w:rsid w:val="00001C9B"/>
    <w:rsid w:val="00002E08"/>
    <w:rsid w:val="000040DC"/>
    <w:rsid w:val="00011784"/>
    <w:rsid w:val="000127BB"/>
    <w:rsid w:val="000151EF"/>
    <w:rsid w:val="000239F5"/>
    <w:rsid w:val="00027646"/>
    <w:rsid w:val="0003155E"/>
    <w:rsid w:val="00037DC7"/>
    <w:rsid w:val="00040E48"/>
    <w:rsid w:val="000475D0"/>
    <w:rsid w:val="00047C06"/>
    <w:rsid w:val="000559A9"/>
    <w:rsid w:val="00057616"/>
    <w:rsid w:val="00061098"/>
    <w:rsid w:val="00065BFE"/>
    <w:rsid w:val="00075049"/>
    <w:rsid w:val="00076523"/>
    <w:rsid w:val="0008612A"/>
    <w:rsid w:val="000879B7"/>
    <w:rsid w:val="00090E18"/>
    <w:rsid w:val="00097228"/>
    <w:rsid w:val="000979D5"/>
    <w:rsid w:val="000A10BC"/>
    <w:rsid w:val="000B0056"/>
    <w:rsid w:val="000B42F6"/>
    <w:rsid w:val="000C132A"/>
    <w:rsid w:val="000C3C7B"/>
    <w:rsid w:val="000C45C3"/>
    <w:rsid w:val="000D0F93"/>
    <w:rsid w:val="000D12DA"/>
    <w:rsid w:val="000D548B"/>
    <w:rsid w:val="000D6D9D"/>
    <w:rsid w:val="000E2B6D"/>
    <w:rsid w:val="000F4EA8"/>
    <w:rsid w:val="0010065E"/>
    <w:rsid w:val="00106416"/>
    <w:rsid w:val="00110481"/>
    <w:rsid w:val="00111935"/>
    <w:rsid w:val="00112599"/>
    <w:rsid w:val="001127C9"/>
    <w:rsid w:val="00115B88"/>
    <w:rsid w:val="00131661"/>
    <w:rsid w:val="00132F6A"/>
    <w:rsid w:val="00133913"/>
    <w:rsid w:val="00133F93"/>
    <w:rsid w:val="00140221"/>
    <w:rsid w:val="0015258A"/>
    <w:rsid w:val="001642FC"/>
    <w:rsid w:val="0016496B"/>
    <w:rsid w:val="001743E2"/>
    <w:rsid w:val="001745F8"/>
    <w:rsid w:val="001800DC"/>
    <w:rsid w:val="001804AB"/>
    <w:rsid w:val="00180B5F"/>
    <w:rsid w:val="001838CF"/>
    <w:rsid w:val="0018563C"/>
    <w:rsid w:val="001868EE"/>
    <w:rsid w:val="00193416"/>
    <w:rsid w:val="001945EA"/>
    <w:rsid w:val="001A1E5B"/>
    <w:rsid w:val="001A3BA4"/>
    <w:rsid w:val="001A4A43"/>
    <w:rsid w:val="001A6731"/>
    <w:rsid w:val="001A6D1F"/>
    <w:rsid w:val="001B011D"/>
    <w:rsid w:val="001B09D4"/>
    <w:rsid w:val="001B44DF"/>
    <w:rsid w:val="001C09AD"/>
    <w:rsid w:val="001C0F20"/>
    <w:rsid w:val="001D019A"/>
    <w:rsid w:val="001D7B40"/>
    <w:rsid w:val="001E13B9"/>
    <w:rsid w:val="001E210F"/>
    <w:rsid w:val="001E30F6"/>
    <w:rsid w:val="001F2EF0"/>
    <w:rsid w:val="001F36B4"/>
    <w:rsid w:val="001F7B09"/>
    <w:rsid w:val="002002A0"/>
    <w:rsid w:val="00217EE5"/>
    <w:rsid w:val="00221A9B"/>
    <w:rsid w:val="0022521D"/>
    <w:rsid w:val="0022688C"/>
    <w:rsid w:val="00226E07"/>
    <w:rsid w:val="002324FA"/>
    <w:rsid w:val="00235F5C"/>
    <w:rsid w:val="00243EDB"/>
    <w:rsid w:val="00244641"/>
    <w:rsid w:val="00250989"/>
    <w:rsid w:val="00257FA3"/>
    <w:rsid w:val="00262602"/>
    <w:rsid w:val="00262A22"/>
    <w:rsid w:val="00263F95"/>
    <w:rsid w:val="00264B5D"/>
    <w:rsid w:val="00277B56"/>
    <w:rsid w:val="002933C7"/>
    <w:rsid w:val="002A19F5"/>
    <w:rsid w:val="002A52AD"/>
    <w:rsid w:val="002A6B70"/>
    <w:rsid w:val="002A7030"/>
    <w:rsid w:val="002B384E"/>
    <w:rsid w:val="002B4922"/>
    <w:rsid w:val="002B630E"/>
    <w:rsid w:val="002C22C3"/>
    <w:rsid w:val="002C2D00"/>
    <w:rsid w:val="002C2D19"/>
    <w:rsid w:val="002D0FA8"/>
    <w:rsid w:val="002D10FA"/>
    <w:rsid w:val="002D4C55"/>
    <w:rsid w:val="002E0159"/>
    <w:rsid w:val="002E1B2A"/>
    <w:rsid w:val="002E6DED"/>
    <w:rsid w:val="00300956"/>
    <w:rsid w:val="00302B96"/>
    <w:rsid w:val="00304AD1"/>
    <w:rsid w:val="00306B52"/>
    <w:rsid w:val="003113F8"/>
    <w:rsid w:val="00317187"/>
    <w:rsid w:val="0032499A"/>
    <w:rsid w:val="00325550"/>
    <w:rsid w:val="00326F9D"/>
    <w:rsid w:val="00327FAA"/>
    <w:rsid w:val="003313F7"/>
    <w:rsid w:val="003341F7"/>
    <w:rsid w:val="0034286E"/>
    <w:rsid w:val="00345BA6"/>
    <w:rsid w:val="00347FEC"/>
    <w:rsid w:val="00350300"/>
    <w:rsid w:val="00356F45"/>
    <w:rsid w:val="003635FE"/>
    <w:rsid w:val="00364CB1"/>
    <w:rsid w:val="00366B74"/>
    <w:rsid w:val="00367F07"/>
    <w:rsid w:val="003823AE"/>
    <w:rsid w:val="00384FA1"/>
    <w:rsid w:val="003A10EA"/>
    <w:rsid w:val="003A2788"/>
    <w:rsid w:val="003A710A"/>
    <w:rsid w:val="003B659E"/>
    <w:rsid w:val="003C0246"/>
    <w:rsid w:val="003C275E"/>
    <w:rsid w:val="003C4FDE"/>
    <w:rsid w:val="003D3B6A"/>
    <w:rsid w:val="003E3236"/>
    <w:rsid w:val="003E51DB"/>
    <w:rsid w:val="003E58DF"/>
    <w:rsid w:val="003F0A5C"/>
    <w:rsid w:val="003F1EA5"/>
    <w:rsid w:val="003F637C"/>
    <w:rsid w:val="00402AEF"/>
    <w:rsid w:val="00404C4C"/>
    <w:rsid w:val="0041423F"/>
    <w:rsid w:val="00414F81"/>
    <w:rsid w:val="0041703E"/>
    <w:rsid w:val="00420305"/>
    <w:rsid w:val="00426787"/>
    <w:rsid w:val="00436A0F"/>
    <w:rsid w:val="00437150"/>
    <w:rsid w:val="0043750A"/>
    <w:rsid w:val="00447AC2"/>
    <w:rsid w:val="0045237E"/>
    <w:rsid w:val="004562F2"/>
    <w:rsid w:val="00465DED"/>
    <w:rsid w:val="00470741"/>
    <w:rsid w:val="004732E9"/>
    <w:rsid w:val="00475410"/>
    <w:rsid w:val="00475CD4"/>
    <w:rsid w:val="004760CD"/>
    <w:rsid w:val="004760E3"/>
    <w:rsid w:val="004854BB"/>
    <w:rsid w:val="004875DC"/>
    <w:rsid w:val="00491177"/>
    <w:rsid w:val="00494493"/>
    <w:rsid w:val="00496606"/>
    <w:rsid w:val="00496AB3"/>
    <w:rsid w:val="004A153F"/>
    <w:rsid w:val="004C1513"/>
    <w:rsid w:val="004C34E4"/>
    <w:rsid w:val="004C5498"/>
    <w:rsid w:val="004C5D2D"/>
    <w:rsid w:val="004D083C"/>
    <w:rsid w:val="004E5E66"/>
    <w:rsid w:val="004E7ADB"/>
    <w:rsid w:val="004F1FFB"/>
    <w:rsid w:val="004F6178"/>
    <w:rsid w:val="00503B4D"/>
    <w:rsid w:val="005049D6"/>
    <w:rsid w:val="00504EE9"/>
    <w:rsid w:val="005104E2"/>
    <w:rsid w:val="00515B0D"/>
    <w:rsid w:val="00521576"/>
    <w:rsid w:val="00523AA2"/>
    <w:rsid w:val="005250E6"/>
    <w:rsid w:val="00542D23"/>
    <w:rsid w:val="0054442C"/>
    <w:rsid w:val="00546289"/>
    <w:rsid w:val="00550285"/>
    <w:rsid w:val="00557CEE"/>
    <w:rsid w:val="00562492"/>
    <w:rsid w:val="005654BA"/>
    <w:rsid w:val="0056780A"/>
    <w:rsid w:val="00572A20"/>
    <w:rsid w:val="005803B3"/>
    <w:rsid w:val="0058262E"/>
    <w:rsid w:val="00582B09"/>
    <w:rsid w:val="005836F8"/>
    <w:rsid w:val="00584527"/>
    <w:rsid w:val="005918FA"/>
    <w:rsid w:val="00592A86"/>
    <w:rsid w:val="005949E8"/>
    <w:rsid w:val="005977CA"/>
    <w:rsid w:val="005A2429"/>
    <w:rsid w:val="005A6FE9"/>
    <w:rsid w:val="005B363A"/>
    <w:rsid w:val="005B4801"/>
    <w:rsid w:val="005B5638"/>
    <w:rsid w:val="005B5AA5"/>
    <w:rsid w:val="005B6ABC"/>
    <w:rsid w:val="005C23A4"/>
    <w:rsid w:val="005C261A"/>
    <w:rsid w:val="005D1CDF"/>
    <w:rsid w:val="005D2BB7"/>
    <w:rsid w:val="005E3C69"/>
    <w:rsid w:val="005E55FF"/>
    <w:rsid w:val="005E61A8"/>
    <w:rsid w:val="005E621F"/>
    <w:rsid w:val="005F39FA"/>
    <w:rsid w:val="005F5483"/>
    <w:rsid w:val="005F6419"/>
    <w:rsid w:val="006004D4"/>
    <w:rsid w:val="0060543D"/>
    <w:rsid w:val="006104DD"/>
    <w:rsid w:val="00612DFF"/>
    <w:rsid w:val="006130B5"/>
    <w:rsid w:val="00617400"/>
    <w:rsid w:val="00620658"/>
    <w:rsid w:val="00622F03"/>
    <w:rsid w:val="0062374A"/>
    <w:rsid w:val="006272B8"/>
    <w:rsid w:val="00630A45"/>
    <w:rsid w:val="00632D29"/>
    <w:rsid w:val="006368EB"/>
    <w:rsid w:val="00641DFC"/>
    <w:rsid w:val="00656AA3"/>
    <w:rsid w:val="00664659"/>
    <w:rsid w:val="00664950"/>
    <w:rsid w:val="00671963"/>
    <w:rsid w:val="0067264F"/>
    <w:rsid w:val="00674A14"/>
    <w:rsid w:val="00683220"/>
    <w:rsid w:val="00687FA0"/>
    <w:rsid w:val="00691C24"/>
    <w:rsid w:val="00694F71"/>
    <w:rsid w:val="0069573C"/>
    <w:rsid w:val="00695F77"/>
    <w:rsid w:val="006A3C11"/>
    <w:rsid w:val="006A55F1"/>
    <w:rsid w:val="006A7871"/>
    <w:rsid w:val="006B4961"/>
    <w:rsid w:val="006B7010"/>
    <w:rsid w:val="006C0347"/>
    <w:rsid w:val="006C3095"/>
    <w:rsid w:val="006C6E6F"/>
    <w:rsid w:val="006D0529"/>
    <w:rsid w:val="006D0E7F"/>
    <w:rsid w:val="006D23C9"/>
    <w:rsid w:val="006E1151"/>
    <w:rsid w:val="006E6311"/>
    <w:rsid w:val="006E6DB5"/>
    <w:rsid w:val="006F23AA"/>
    <w:rsid w:val="00711422"/>
    <w:rsid w:val="00712059"/>
    <w:rsid w:val="007145FF"/>
    <w:rsid w:val="00715B2A"/>
    <w:rsid w:val="007220CC"/>
    <w:rsid w:val="0072282F"/>
    <w:rsid w:val="00727F85"/>
    <w:rsid w:val="00732502"/>
    <w:rsid w:val="00741562"/>
    <w:rsid w:val="007450F1"/>
    <w:rsid w:val="007505E2"/>
    <w:rsid w:val="00751515"/>
    <w:rsid w:val="0076164F"/>
    <w:rsid w:val="007626B7"/>
    <w:rsid w:val="0077296A"/>
    <w:rsid w:val="00776F82"/>
    <w:rsid w:val="007773DC"/>
    <w:rsid w:val="0078040A"/>
    <w:rsid w:val="0078212B"/>
    <w:rsid w:val="00784DF6"/>
    <w:rsid w:val="00785232"/>
    <w:rsid w:val="00791369"/>
    <w:rsid w:val="00793474"/>
    <w:rsid w:val="00794282"/>
    <w:rsid w:val="007A2D63"/>
    <w:rsid w:val="007B186C"/>
    <w:rsid w:val="007B2D8D"/>
    <w:rsid w:val="007C1547"/>
    <w:rsid w:val="007C1696"/>
    <w:rsid w:val="007C3B9B"/>
    <w:rsid w:val="007C3ED0"/>
    <w:rsid w:val="007C5413"/>
    <w:rsid w:val="007C5971"/>
    <w:rsid w:val="007D037E"/>
    <w:rsid w:val="007D51C5"/>
    <w:rsid w:val="007E10A6"/>
    <w:rsid w:val="007E4356"/>
    <w:rsid w:val="007E4EC2"/>
    <w:rsid w:val="007F54B9"/>
    <w:rsid w:val="007F5860"/>
    <w:rsid w:val="0080131C"/>
    <w:rsid w:val="00806A76"/>
    <w:rsid w:val="00806B84"/>
    <w:rsid w:val="00806E40"/>
    <w:rsid w:val="00811C9D"/>
    <w:rsid w:val="00815361"/>
    <w:rsid w:val="00815504"/>
    <w:rsid w:val="00816C80"/>
    <w:rsid w:val="00822D74"/>
    <w:rsid w:val="00826092"/>
    <w:rsid w:val="00827515"/>
    <w:rsid w:val="0083686C"/>
    <w:rsid w:val="00841BCD"/>
    <w:rsid w:val="00843835"/>
    <w:rsid w:val="00851A8E"/>
    <w:rsid w:val="0085365B"/>
    <w:rsid w:val="008607A6"/>
    <w:rsid w:val="00875037"/>
    <w:rsid w:val="00875F54"/>
    <w:rsid w:val="0087624B"/>
    <w:rsid w:val="00880759"/>
    <w:rsid w:val="008826C1"/>
    <w:rsid w:val="00883DFD"/>
    <w:rsid w:val="008A1BF7"/>
    <w:rsid w:val="008A2F42"/>
    <w:rsid w:val="008A5B0E"/>
    <w:rsid w:val="008B0961"/>
    <w:rsid w:val="008B09AD"/>
    <w:rsid w:val="008B1E3F"/>
    <w:rsid w:val="008B5AF2"/>
    <w:rsid w:val="008C39F7"/>
    <w:rsid w:val="008C7503"/>
    <w:rsid w:val="008E1EEF"/>
    <w:rsid w:val="008F1ACC"/>
    <w:rsid w:val="0090091A"/>
    <w:rsid w:val="009038F7"/>
    <w:rsid w:val="0090407D"/>
    <w:rsid w:val="009042BD"/>
    <w:rsid w:val="00904FE4"/>
    <w:rsid w:val="0090546C"/>
    <w:rsid w:val="0091388F"/>
    <w:rsid w:val="00916E30"/>
    <w:rsid w:val="0092030D"/>
    <w:rsid w:val="00923F02"/>
    <w:rsid w:val="00934F85"/>
    <w:rsid w:val="00936159"/>
    <w:rsid w:val="0093746C"/>
    <w:rsid w:val="0094427F"/>
    <w:rsid w:val="00950F37"/>
    <w:rsid w:val="00970FA3"/>
    <w:rsid w:val="009718DF"/>
    <w:rsid w:val="00977E1D"/>
    <w:rsid w:val="009815F4"/>
    <w:rsid w:val="00983E30"/>
    <w:rsid w:val="00991AB6"/>
    <w:rsid w:val="00991D7C"/>
    <w:rsid w:val="00992D7E"/>
    <w:rsid w:val="009A6AA4"/>
    <w:rsid w:val="009B0573"/>
    <w:rsid w:val="009B4127"/>
    <w:rsid w:val="009B7B4B"/>
    <w:rsid w:val="009B7C21"/>
    <w:rsid w:val="009C28EF"/>
    <w:rsid w:val="009D4264"/>
    <w:rsid w:val="009D6F64"/>
    <w:rsid w:val="009E7AF2"/>
    <w:rsid w:val="009F4637"/>
    <w:rsid w:val="009F4D04"/>
    <w:rsid w:val="00A02701"/>
    <w:rsid w:val="00A0376A"/>
    <w:rsid w:val="00A04992"/>
    <w:rsid w:val="00A07479"/>
    <w:rsid w:val="00A07F10"/>
    <w:rsid w:val="00A13F8B"/>
    <w:rsid w:val="00A142EB"/>
    <w:rsid w:val="00A147AA"/>
    <w:rsid w:val="00A1560F"/>
    <w:rsid w:val="00A16D90"/>
    <w:rsid w:val="00A21D71"/>
    <w:rsid w:val="00A22B78"/>
    <w:rsid w:val="00A2329E"/>
    <w:rsid w:val="00A235BF"/>
    <w:rsid w:val="00A25AE5"/>
    <w:rsid w:val="00A277DB"/>
    <w:rsid w:val="00A31B3E"/>
    <w:rsid w:val="00A37002"/>
    <w:rsid w:val="00A4355E"/>
    <w:rsid w:val="00A435FA"/>
    <w:rsid w:val="00A442B5"/>
    <w:rsid w:val="00A4441F"/>
    <w:rsid w:val="00A47193"/>
    <w:rsid w:val="00A53C33"/>
    <w:rsid w:val="00A54423"/>
    <w:rsid w:val="00A7091D"/>
    <w:rsid w:val="00A73DDA"/>
    <w:rsid w:val="00A75A86"/>
    <w:rsid w:val="00A84012"/>
    <w:rsid w:val="00A92BCD"/>
    <w:rsid w:val="00AA06E7"/>
    <w:rsid w:val="00AA1054"/>
    <w:rsid w:val="00AA1B0E"/>
    <w:rsid w:val="00AA2EE2"/>
    <w:rsid w:val="00AA2F6C"/>
    <w:rsid w:val="00AA42E0"/>
    <w:rsid w:val="00AA47B6"/>
    <w:rsid w:val="00AA6FE7"/>
    <w:rsid w:val="00AC163B"/>
    <w:rsid w:val="00AC472C"/>
    <w:rsid w:val="00AC5CA7"/>
    <w:rsid w:val="00AC6058"/>
    <w:rsid w:val="00AC78B8"/>
    <w:rsid w:val="00AD3CE7"/>
    <w:rsid w:val="00AE2BA5"/>
    <w:rsid w:val="00AE56B1"/>
    <w:rsid w:val="00AE6D09"/>
    <w:rsid w:val="00AE73BA"/>
    <w:rsid w:val="00AF428D"/>
    <w:rsid w:val="00AF7A7C"/>
    <w:rsid w:val="00B02070"/>
    <w:rsid w:val="00B0305C"/>
    <w:rsid w:val="00B15095"/>
    <w:rsid w:val="00B26BA8"/>
    <w:rsid w:val="00B337C0"/>
    <w:rsid w:val="00B408B6"/>
    <w:rsid w:val="00B436FC"/>
    <w:rsid w:val="00B46AE1"/>
    <w:rsid w:val="00B479B3"/>
    <w:rsid w:val="00B500AE"/>
    <w:rsid w:val="00B5366B"/>
    <w:rsid w:val="00B53FF9"/>
    <w:rsid w:val="00B542DA"/>
    <w:rsid w:val="00B546D4"/>
    <w:rsid w:val="00B54D2A"/>
    <w:rsid w:val="00B561F2"/>
    <w:rsid w:val="00B62C13"/>
    <w:rsid w:val="00B73862"/>
    <w:rsid w:val="00B73F43"/>
    <w:rsid w:val="00B83547"/>
    <w:rsid w:val="00B90576"/>
    <w:rsid w:val="00B94BD6"/>
    <w:rsid w:val="00B9693F"/>
    <w:rsid w:val="00BA5CC5"/>
    <w:rsid w:val="00BA6863"/>
    <w:rsid w:val="00BA6B66"/>
    <w:rsid w:val="00BA6E48"/>
    <w:rsid w:val="00BB6EE6"/>
    <w:rsid w:val="00BB76A6"/>
    <w:rsid w:val="00BC5113"/>
    <w:rsid w:val="00BD0004"/>
    <w:rsid w:val="00BD1219"/>
    <w:rsid w:val="00BE0AF6"/>
    <w:rsid w:val="00BE1F03"/>
    <w:rsid w:val="00BE58A7"/>
    <w:rsid w:val="00BE7ED3"/>
    <w:rsid w:val="00BF2218"/>
    <w:rsid w:val="00BF23C6"/>
    <w:rsid w:val="00BF645B"/>
    <w:rsid w:val="00C0426B"/>
    <w:rsid w:val="00C045DF"/>
    <w:rsid w:val="00C07103"/>
    <w:rsid w:val="00C10EC8"/>
    <w:rsid w:val="00C110A9"/>
    <w:rsid w:val="00C14F55"/>
    <w:rsid w:val="00C20B86"/>
    <w:rsid w:val="00C2272B"/>
    <w:rsid w:val="00C26A93"/>
    <w:rsid w:val="00C26D43"/>
    <w:rsid w:val="00C36C90"/>
    <w:rsid w:val="00C43EB2"/>
    <w:rsid w:val="00C46548"/>
    <w:rsid w:val="00C51BD7"/>
    <w:rsid w:val="00C574D5"/>
    <w:rsid w:val="00C62123"/>
    <w:rsid w:val="00C64170"/>
    <w:rsid w:val="00C73F32"/>
    <w:rsid w:val="00C74E45"/>
    <w:rsid w:val="00C85712"/>
    <w:rsid w:val="00C86509"/>
    <w:rsid w:val="00C87462"/>
    <w:rsid w:val="00C96A59"/>
    <w:rsid w:val="00CA180C"/>
    <w:rsid w:val="00CA5724"/>
    <w:rsid w:val="00CA5AA6"/>
    <w:rsid w:val="00CB22B2"/>
    <w:rsid w:val="00CC3077"/>
    <w:rsid w:val="00CC3EE2"/>
    <w:rsid w:val="00CC6812"/>
    <w:rsid w:val="00CD314F"/>
    <w:rsid w:val="00CD6079"/>
    <w:rsid w:val="00CD67B6"/>
    <w:rsid w:val="00CD7492"/>
    <w:rsid w:val="00CE3A6B"/>
    <w:rsid w:val="00CF2447"/>
    <w:rsid w:val="00CF266E"/>
    <w:rsid w:val="00CF5167"/>
    <w:rsid w:val="00D00211"/>
    <w:rsid w:val="00D011A5"/>
    <w:rsid w:val="00D05D96"/>
    <w:rsid w:val="00D06309"/>
    <w:rsid w:val="00D10BA8"/>
    <w:rsid w:val="00D13ABE"/>
    <w:rsid w:val="00D15F2D"/>
    <w:rsid w:val="00D257F1"/>
    <w:rsid w:val="00D351EA"/>
    <w:rsid w:val="00D3586B"/>
    <w:rsid w:val="00D40288"/>
    <w:rsid w:val="00D40CF6"/>
    <w:rsid w:val="00D412AF"/>
    <w:rsid w:val="00D43403"/>
    <w:rsid w:val="00D5270B"/>
    <w:rsid w:val="00D56A13"/>
    <w:rsid w:val="00D62E71"/>
    <w:rsid w:val="00D6430D"/>
    <w:rsid w:val="00D66188"/>
    <w:rsid w:val="00D66358"/>
    <w:rsid w:val="00D731F6"/>
    <w:rsid w:val="00D740CA"/>
    <w:rsid w:val="00D7461B"/>
    <w:rsid w:val="00D82764"/>
    <w:rsid w:val="00D83CFC"/>
    <w:rsid w:val="00D85728"/>
    <w:rsid w:val="00D95481"/>
    <w:rsid w:val="00D9729F"/>
    <w:rsid w:val="00DA0B45"/>
    <w:rsid w:val="00DB7682"/>
    <w:rsid w:val="00DC7A13"/>
    <w:rsid w:val="00DE4D19"/>
    <w:rsid w:val="00DE5A10"/>
    <w:rsid w:val="00DE60F4"/>
    <w:rsid w:val="00DF2997"/>
    <w:rsid w:val="00DF48B8"/>
    <w:rsid w:val="00DF4FC3"/>
    <w:rsid w:val="00E06643"/>
    <w:rsid w:val="00E072C8"/>
    <w:rsid w:val="00E10BC4"/>
    <w:rsid w:val="00E11721"/>
    <w:rsid w:val="00E11C50"/>
    <w:rsid w:val="00E1415D"/>
    <w:rsid w:val="00E179CD"/>
    <w:rsid w:val="00E2082A"/>
    <w:rsid w:val="00E323E9"/>
    <w:rsid w:val="00E34018"/>
    <w:rsid w:val="00E34871"/>
    <w:rsid w:val="00E353CA"/>
    <w:rsid w:val="00E437D2"/>
    <w:rsid w:val="00E43BFF"/>
    <w:rsid w:val="00E468C8"/>
    <w:rsid w:val="00E55751"/>
    <w:rsid w:val="00E56D06"/>
    <w:rsid w:val="00E70D12"/>
    <w:rsid w:val="00E72911"/>
    <w:rsid w:val="00E73967"/>
    <w:rsid w:val="00E8313C"/>
    <w:rsid w:val="00E84C7D"/>
    <w:rsid w:val="00EA03EE"/>
    <w:rsid w:val="00EA2311"/>
    <w:rsid w:val="00EA635E"/>
    <w:rsid w:val="00EA78FF"/>
    <w:rsid w:val="00EC3B06"/>
    <w:rsid w:val="00EC7BC3"/>
    <w:rsid w:val="00ED478E"/>
    <w:rsid w:val="00ED64D8"/>
    <w:rsid w:val="00ED7600"/>
    <w:rsid w:val="00EE21BA"/>
    <w:rsid w:val="00EE4CAD"/>
    <w:rsid w:val="00EE6297"/>
    <w:rsid w:val="00EF2A22"/>
    <w:rsid w:val="00EF4399"/>
    <w:rsid w:val="00EF4E8B"/>
    <w:rsid w:val="00EF6073"/>
    <w:rsid w:val="00EF698B"/>
    <w:rsid w:val="00F04CF8"/>
    <w:rsid w:val="00F0768B"/>
    <w:rsid w:val="00F10385"/>
    <w:rsid w:val="00F13237"/>
    <w:rsid w:val="00F1362C"/>
    <w:rsid w:val="00F24236"/>
    <w:rsid w:val="00F33EB8"/>
    <w:rsid w:val="00F34CDB"/>
    <w:rsid w:val="00F37429"/>
    <w:rsid w:val="00F37BB5"/>
    <w:rsid w:val="00F414F1"/>
    <w:rsid w:val="00F42D26"/>
    <w:rsid w:val="00F479B0"/>
    <w:rsid w:val="00F508B8"/>
    <w:rsid w:val="00F5650B"/>
    <w:rsid w:val="00F57227"/>
    <w:rsid w:val="00F63F32"/>
    <w:rsid w:val="00F71675"/>
    <w:rsid w:val="00F72394"/>
    <w:rsid w:val="00F72CB1"/>
    <w:rsid w:val="00F734CC"/>
    <w:rsid w:val="00F8215E"/>
    <w:rsid w:val="00F824F5"/>
    <w:rsid w:val="00F83301"/>
    <w:rsid w:val="00F87306"/>
    <w:rsid w:val="00F90FAB"/>
    <w:rsid w:val="00F9374D"/>
    <w:rsid w:val="00F949F4"/>
    <w:rsid w:val="00F96EB8"/>
    <w:rsid w:val="00F97F37"/>
    <w:rsid w:val="00FB0407"/>
    <w:rsid w:val="00FB1CF7"/>
    <w:rsid w:val="00FC29B9"/>
    <w:rsid w:val="00FC656E"/>
    <w:rsid w:val="00FC6FD3"/>
    <w:rsid w:val="00FD273E"/>
    <w:rsid w:val="00FD583B"/>
    <w:rsid w:val="00FD61FF"/>
    <w:rsid w:val="00FE305C"/>
    <w:rsid w:val="00FE5E76"/>
    <w:rsid w:val="00FF0301"/>
    <w:rsid w:val="00FF6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D6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0CC"/>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9815F4"/>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customStyle="1" w:styleId="B1">
    <w:name w:val="B1"/>
    <w:basedOn w:val="List"/>
    <w:link w:val="B1Char"/>
    <w:rsid w:val="00664659"/>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66465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64659"/>
    <w:pPr>
      <w:ind w:left="283" w:hanging="283"/>
      <w:contextualSpacing/>
    </w:pPr>
  </w:style>
  <w:style w:type="paragraph" w:styleId="Header">
    <w:name w:val="header"/>
    <w:basedOn w:val="Normal"/>
    <w:link w:val="HeaderChar"/>
    <w:unhideWhenUsed/>
    <w:rsid w:val="00D82764"/>
    <w:pPr>
      <w:tabs>
        <w:tab w:val="center" w:pos="4513"/>
        <w:tab w:val="right" w:pos="9026"/>
      </w:tabs>
      <w:spacing w:after="0" w:line="240" w:lineRule="auto"/>
    </w:pPr>
  </w:style>
  <w:style w:type="character" w:customStyle="1" w:styleId="HeaderChar">
    <w:name w:val="Header Char"/>
    <w:basedOn w:val="DefaultParagraphFont"/>
    <w:link w:val="Header"/>
    <w:rsid w:val="00D82764"/>
    <w:rPr>
      <w:rFonts w:ascii="Times New Roman" w:hAnsi="Times New Roman"/>
      <w:sz w:val="20"/>
    </w:rPr>
  </w:style>
  <w:style w:type="paragraph" w:styleId="Footer">
    <w:name w:val="footer"/>
    <w:basedOn w:val="Normal"/>
    <w:link w:val="FooterChar"/>
    <w:uiPriority w:val="99"/>
    <w:unhideWhenUsed/>
    <w:rsid w:val="00D827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2764"/>
    <w:rPr>
      <w:rFonts w:ascii="Times New Roman" w:hAnsi="Times New Roman"/>
      <w:sz w:val="20"/>
    </w:rPr>
  </w:style>
  <w:style w:type="paragraph" w:styleId="Revision">
    <w:name w:val="Revision"/>
    <w:hidden/>
    <w:uiPriority w:val="99"/>
    <w:semiHidden/>
    <w:rsid w:val="00FB1CF7"/>
    <w:pPr>
      <w:spacing w:after="0" w:line="240" w:lineRule="auto"/>
    </w:pPr>
    <w:rPr>
      <w:rFonts w:ascii="Times New Roman" w:hAnsi="Times New Roman"/>
      <w:sz w:val="20"/>
    </w:rPr>
  </w:style>
  <w:style w:type="character" w:customStyle="1" w:styleId="B2Char">
    <w:name w:val="B2 Char"/>
    <w:link w:val="B2"/>
    <w:qFormat/>
    <w:locked/>
    <w:rsid w:val="002B384E"/>
    <w:rPr>
      <w:rFonts w:ascii="Times New Roman" w:eastAsia="Times New Roman" w:hAnsi="Times New Roman" w:cs="Times New Roman"/>
      <w:lang w:eastAsia="en-GB"/>
    </w:rPr>
  </w:style>
  <w:style w:type="paragraph" w:customStyle="1" w:styleId="B2">
    <w:name w:val="B2"/>
    <w:basedOn w:val="List2"/>
    <w:link w:val="B2Char"/>
    <w:rsid w:val="002B384E"/>
    <w:pPr>
      <w:overflowPunct w:val="0"/>
      <w:autoSpaceDE w:val="0"/>
      <w:autoSpaceDN w:val="0"/>
      <w:adjustRightInd w:val="0"/>
      <w:spacing w:after="180" w:line="240" w:lineRule="auto"/>
      <w:ind w:left="851" w:hanging="284"/>
      <w:contextualSpacing w:val="0"/>
      <w:jc w:val="left"/>
    </w:pPr>
    <w:rPr>
      <w:rFonts w:eastAsia="Times New Roman" w:cs="Times New Roman"/>
      <w:sz w:val="22"/>
      <w:lang w:eastAsia="en-GB"/>
    </w:rPr>
  </w:style>
  <w:style w:type="character" w:customStyle="1" w:styleId="B3Char">
    <w:name w:val="B3 Char"/>
    <w:link w:val="B3"/>
    <w:qFormat/>
    <w:locked/>
    <w:rsid w:val="002B384E"/>
    <w:rPr>
      <w:rFonts w:ascii="Times New Roman" w:eastAsia="Times New Roman" w:hAnsi="Times New Roman" w:cs="Times New Roman"/>
      <w:lang w:eastAsia="en-GB"/>
    </w:rPr>
  </w:style>
  <w:style w:type="paragraph" w:customStyle="1" w:styleId="B3">
    <w:name w:val="B3"/>
    <w:basedOn w:val="List3"/>
    <w:link w:val="B3Char"/>
    <w:rsid w:val="002B384E"/>
    <w:pPr>
      <w:overflowPunct w:val="0"/>
      <w:autoSpaceDE w:val="0"/>
      <w:autoSpaceDN w:val="0"/>
      <w:adjustRightInd w:val="0"/>
      <w:spacing w:after="180" w:line="240" w:lineRule="auto"/>
      <w:ind w:left="1135" w:hanging="284"/>
      <w:contextualSpacing w:val="0"/>
      <w:jc w:val="left"/>
    </w:pPr>
    <w:rPr>
      <w:rFonts w:eastAsia="Times New Roman" w:cs="Times New Roman"/>
      <w:sz w:val="22"/>
      <w:lang w:eastAsia="en-GB"/>
    </w:rPr>
  </w:style>
  <w:style w:type="paragraph" w:styleId="List2">
    <w:name w:val="List 2"/>
    <w:basedOn w:val="Normal"/>
    <w:uiPriority w:val="99"/>
    <w:semiHidden/>
    <w:unhideWhenUsed/>
    <w:rsid w:val="002B384E"/>
    <w:pPr>
      <w:ind w:left="566" w:hanging="283"/>
      <w:contextualSpacing/>
    </w:pPr>
  </w:style>
  <w:style w:type="paragraph" w:styleId="List3">
    <w:name w:val="List 3"/>
    <w:basedOn w:val="Normal"/>
    <w:uiPriority w:val="99"/>
    <w:semiHidden/>
    <w:unhideWhenUsed/>
    <w:rsid w:val="002B384E"/>
    <w:pPr>
      <w:ind w:left="849" w:hanging="283"/>
      <w:contextualSpacing/>
    </w:pPr>
  </w:style>
  <w:style w:type="character" w:styleId="Mention">
    <w:name w:val="Mention"/>
    <w:basedOn w:val="DefaultParagraphFont"/>
    <w:uiPriority w:val="99"/>
    <w:unhideWhenUsed/>
    <w:rsid w:val="00B26BA8"/>
    <w:rPr>
      <w:color w:val="2B579A"/>
      <w:shd w:val="clear" w:color="auto" w:fill="E1DFDD"/>
    </w:rPr>
  </w:style>
  <w:style w:type="character" w:customStyle="1" w:styleId="ui-provider">
    <w:name w:val="ui-provider"/>
    <w:basedOn w:val="DefaultParagraphFont"/>
    <w:rsid w:val="00F07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221">
      <w:bodyDiv w:val="1"/>
      <w:marLeft w:val="0"/>
      <w:marRight w:val="0"/>
      <w:marTop w:val="0"/>
      <w:marBottom w:val="0"/>
      <w:divBdr>
        <w:top w:val="none" w:sz="0" w:space="0" w:color="auto"/>
        <w:left w:val="none" w:sz="0" w:space="0" w:color="auto"/>
        <w:bottom w:val="none" w:sz="0" w:space="0" w:color="auto"/>
        <w:right w:val="none" w:sz="0" w:space="0" w:color="auto"/>
      </w:divBdr>
    </w:div>
    <w:div w:id="177425895">
      <w:bodyDiv w:val="1"/>
      <w:marLeft w:val="0"/>
      <w:marRight w:val="0"/>
      <w:marTop w:val="0"/>
      <w:marBottom w:val="0"/>
      <w:divBdr>
        <w:top w:val="none" w:sz="0" w:space="0" w:color="auto"/>
        <w:left w:val="none" w:sz="0" w:space="0" w:color="auto"/>
        <w:bottom w:val="none" w:sz="0" w:space="0" w:color="auto"/>
        <w:right w:val="none" w:sz="0" w:space="0" w:color="auto"/>
      </w:divBdr>
    </w:div>
    <w:div w:id="199826790">
      <w:bodyDiv w:val="1"/>
      <w:marLeft w:val="0"/>
      <w:marRight w:val="0"/>
      <w:marTop w:val="0"/>
      <w:marBottom w:val="0"/>
      <w:divBdr>
        <w:top w:val="none" w:sz="0" w:space="0" w:color="auto"/>
        <w:left w:val="none" w:sz="0" w:space="0" w:color="auto"/>
        <w:bottom w:val="none" w:sz="0" w:space="0" w:color="auto"/>
        <w:right w:val="none" w:sz="0" w:space="0" w:color="auto"/>
      </w:divBdr>
    </w:div>
    <w:div w:id="324866110">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21865706">
      <w:bodyDiv w:val="1"/>
      <w:marLeft w:val="0"/>
      <w:marRight w:val="0"/>
      <w:marTop w:val="0"/>
      <w:marBottom w:val="0"/>
      <w:divBdr>
        <w:top w:val="none" w:sz="0" w:space="0" w:color="auto"/>
        <w:left w:val="none" w:sz="0" w:space="0" w:color="auto"/>
        <w:bottom w:val="none" w:sz="0" w:space="0" w:color="auto"/>
        <w:right w:val="none" w:sz="0" w:space="0" w:color="auto"/>
      </w:divBdr>
    </w:div>
    <w:div w:id="616837961">
      <w:bodyDiv w:val="1"/>
      <w:marLeft w:val="0"/>
      <w:marRight w:val="0"/>
      <w:marTop w:val="0"/>
      <w:marBottom w:val="0"/>
      <w:divBdr>
        <w:top w:val="none" w:sz="0" w:space="0" w:color="auto"/>
        <w:left w:val="none" w:sz="0" w:space="0" w:color="auto"/>
        <w:bottom w:val="none" w:sz="0" w:space="0" w:color="auto"/>
        <w:right w:val="none" w:sz="0" w:space="0" w:color="auto"/>
      </w:divBdr>
    </w:div>
    <w:div w:id="761339167">
      <w:bodyDiv w:val="1"/>
      <w:marLeft w:val="0"/>
      <w:marRight w:val="0"/>
      <w:marTop w:val="0"/>
      <w:marBottom w:val="0"/>
      <w:divBdr>
        <w:top w:val="none" w:sz="0" w:space="0" w:color="auto"/>
        <w:left w:val="none" w:sz="0" w:space="0" w:color="auto"/>
        <w:bottom w:val="none" w:sz="0" w:space="0" w:color="auto"/>
        <w:right w:val="none" w:sz="0" w:space="0" w:color="auto"/>
      </w:divBdr>
    </w:div>
    <w:div w:id="1109006148">
      <w:bodyDiv w:val="1"/>
      <w:marLeft w:val="0"/>
      <w:marRight w:val="0"/>
      <w:marTop w:val="0"/>
      <w:marBottom w:val="0"/>
      <w:divBdr>
        <w:top w:val="none" w:sz="0" w:space="0" w:color="auto"/>
        <w:left w:val="none" w:sz="0" w:space="0" w:color="auto"/>
        <w:bottom w:val="none" w:sz="0" w:space="0" w:color="auto"/>
        <w:right w:val="none" w:sz="0" w:space="0" w:color="auto"/>
      </w:divBdr>
    </w:div>
    <w:div w:id="1432821566">
      <w:bodyDiv w:val="1"/>
      <w:marLeft w:val="0"/>
      <w:marRight w:val="0"/>
      <w:marTop w:val="0"/>
      <w:marBottom w:val="0"/>
      <w:divBdr>
        <w:top w:val="none" w:sz="0" w:space="0" w:color="auto"/>
        <w:left w:val="none" w:sz="0" w:space="0" w:color="auto"/>
        <w:bottom w:val="none" w:sz="0" w:space="0" w:color="auto"/>
        <w:right w:val="none" w:sz="0" w:space="0" w:color="auto"/>
      </w:divBdr>
    </w:div>
    <w:div w:id="1467355417">
      <w:bodyDiv w:val="1"/>
      <w:marLeft w:val="0"/>
      <w:marRight w:val="0"/>
      <w:marTop w:val="0"/>
      <w:marBottom w:val="0"/>
      <w:divBdr>
        <w:top w:val="none" w:sz="0" w:space="0" w:color="auto"/>
        <w:left w:val="none" w:sz="0" w:space="0" w:color="auto"/>
        <w:bottom w:val="none" w:sz="0" w:space="0" w:color="auto"/>
        <w:right w:val="none" w:sz="0" w:space="0" w:color="auto"/>
      </w:divBdr>
    </w:div>
    <w:div w:id="1520268483">
      <w:bodyDiv w:val="1"/>
      <w:marLeft w:val="0"/>
      <w:marRight w:val="0"/>
      <w:marTop w:val="0"/>
      <w:marBottom w:val="0"/>
      <w:divBdr>
        <w:top w:val="none" w:sz="0" w:space="0" w:color="auto"/>
        <w:left w:val="none" w:sz="0" w:space="0" w:color="auto"/>
        <w:bottom w:val="none" w:sz="0" w:space="0" w:color="auto"/>
        <w:right w:val="none" w:sz="0" w:space="0" w:color="auto"/>
      </w:divBdr>
    </w:div>
    <w:div w:id="1624651665">
      <w:bodyDiv w:val="1"/>
      <w:marLeft w:val="0"/>
      <w:marRight w:val="0"/>
      <w:marTop w:val="0"/>
      <w:marBottom w:val="0"/>
      <w:divBdr>
        <w:top w:val="none" w:sz="0" w:space="0" w:color="auto"/>
        <w:left w:val="none" w:sz="0" w:space="0" w:color="auto"/>
        <w:bottom w:val="none" w:sz="0" w:space="0" w:color="auto"/>
        <w:right w:val="none" w:sz="0" w:space="0" w:color="auto"/>
      </w:divBdr>
    </w:div>
    <w:div w:id="1688677017">
      <w:bodyDiv w:val="1"/>
      <w:marLeft w:val="0"/>
      <w:marRight w:val="0"/>
      <w:marTop w:val="0"/>
      <w:marBottom w:val="0"/>
      <w:divBdr>
        <w:top w:val="none" w:sz="0" w:space="0" w:color="auto"/>
        <w:left w:val="none" w:sz="0" w:space="0" w:color="auto"/>
        <w:bottom w:val="none" w:sz="0" w:space="0" w:color="auto"/>
        <w:right w:val="none" w:sz="0" w:space="0" w:color="auto"/>
      </w:divBdr>
    </w:div>
    <w:div w:id="1867593944">
      <w:bodyDiv w:val="1"/>
      <w:marLeft w:val="0"/>
      <w:marRight w:val="0"/>
      <w:marTop w:val="0"/>
      <w:marBottom w:val="0"/>
      <w:divBdr>
        <w:top w:val="none" w:sz="0" w:space="0" w:color="auto"/>
        <w:left w:val="none" w:sz="0" w:space="0" w:color="auto"/>
        <w:bottom w:val="none" w:sz="0" w:space="0" w:color="auto"/>
        <w:right w:val="none" w:sz="0" w:space="0" w:color="auto"/>
      </w:divBdr>
    </w:div>
    <w:div w:id="1991325114">
      <w:bodyDiv w:val="1"/>
      <w:marLeft w:val="0"/>
      <w:marRight w:val="0"/>
      <w:marTop w:val="0"/>
      <w:marBottom w:val="0"/>
      <w:divBdr>
        <w:top w:val="none" w:sz="0" w:space="0" w:color="auto"/>
        <w:left w:val="none" w:sz="0" w:space="0" w:color="auto"/>
        <w:bottom w:val="none" w:sz="0" w:space="0" w:color="auto"/>
        <w:right w:val="none" w:sz="0" w:space="0" w:color="auto"/>
      </w:divBdr>
    </w:div>
    <w:div w:id="213000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5AIRPNAIUNRU-1328258698-24459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https://nokia.sharepoint.com/sites/c5g/5gradio/_layouts/15/DocIdRedir.aspx?ID=5AIRPNAIUNRU-1328258698-24459</Url>
      <Description>5AIRPNAIUNRU-1328258698-24459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5A0383B-ED4D-40D2-B838-3DCE0E588029}">
  <ds:schemaRefs>
    <ds:schemaRef ds:uri="http://schemas.microsoft.com/sharepoint/v3/contenttype/forms"/>
  </ds:schemaRefs>
</ds:datastoreItem>
</file>

<file path=customXml/itemProps3.xml><?xml version="1.0" encoding="utf-8"?>
<ds:datastoreItem xmlns:ds="http://schemas.openxmlformats.org/officeDocument/2006/customXml" ds:itemID="{14514913-0810-4E61-B3C2-D3BD2EA67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38FEE-3E59-46A5-93D0-B99E23087D75}">
  <ds:schemaRefs>
    <ds:schemaRef ds:uri="Microsoft.SharePoint.Taxonomy.ContentTypeSync"/>
  </ds:schemaRefs>
</ds:datastoreItem>
</file>

<file path=customXml/itemProps5.xml><?xml version="1.0" encoding="utf-8"?>
<ds:datastoreItem xmlns:ds="http://schemas.openxmlformats.org/officeDocument/2006/customXml" ds:itemID="{129EE8C9-F6D3-4CEB-B8E7-4DC51E807483}">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2575ECA5-C0BC-4F67-A63B-36FF044BF93B}">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2534</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16951</CharactersWithSpaces>
  <SharedDoc>false</SharedDoc>
  <HLinks>
    <vt:vector size="84" baseType="variant">
      <vt:variant>
        <vt:i4>1310781</vt:i4>
      </vt:variant>
      <vt:variant>
        <vt:i4>44</vt:i4>
      </vt:variant>
      <vt:variant>
        <vt:i4>0</vt:i4>
      </vt:variant>
      <vt:variant>
        <vt:i4>5</vt:i4>
      </vt:variant>
      <vt:variant>
        <vt:lpwstr/>
      </vt:variant>
      <vt:variant>
        <vt:lpwstr>_Toc135084141</vt:lpwstr>
      </vt:variant>
      <vt:variant>
        <vt:i4>1310781</vt:i4>
      </vt:variant>
      <vt:variant>
        <vt:i4>41</vt:i4>
      </vt:variant>
      <vt:variant>
        <vt:i4>0</vt:i4>
      </vt:variant>
      <vt:variant>
        <vt:i4>5</vt:i4>
      </vt:variant>
      <vt:variant>
        <vt:lpwstr/>
      </vt:variant>
      <vt:variant>
        <vt:lpwstr>_Toc135084140</vt:lpwstr>
      </vt:variant>
      <vt:variant>
        <vt:i4>1245245</vt:i4>
      </vt:variant>
      <vt:variant>
        <vt:i4>38</vt:i4>
      </vt:variant>
      <vt:variant>
        <vt:i4>0</vt:i4>
      </vt:variant>
      <vt:variant>
        <vt:i4>5</vt:i4>
      </vt:variant>
      <vt:variant>
        <vt:lpwstr/>
      </vt:variant>
      <vt:variant>
        <vt:lpwstr>_Toc135084139</vt:lpwstr>
      </vt:variant>
      <vt:variant>
        <vt:i4>1245245</vt:i4>
      </vt:variant>
      <vt:variant>
        <vt:i4>35</vt:i4>
      </vt:variant>
      <vt:variant>
        <vt:i4>0</vt:i4>
      </vt:variant>
      <vt:variant>
        <vt:i4>5</vt:i4>
      </vt:variant>
      <vt:variant>
        <vt:lpwstr/>
      </vt:variant>
      <vt:variant>
        <vt:lpwstr>_Toc135084138</vt:lpwstr>
      </vt:variant>
      <vt:variant>
        <vt:i4>1245245</vt:i4>
      </vt:variant>
      <vt:variant>
        <vt:i4>32</vt:i4>
      </vt:variant>
      <vt:variant>
        <vt:i4>0</vt:i4>
      </vt:variant>
      <vt:variant>
        <vt:i4>5</vt:i4>
      </vt:variant>
      <vt:variant>
        <vt:lpwstr/>
      </vt:variant>
      <vt:variant>
        <vt:lpwstr>_Toc135084137</vt:lpwstr>
      </vt:variant>
      <vt:variant>
        <vt:i4>1245245</vt:i4>
      </vt:variant>
      <vt:variant>
        <vt:i4>29</vt:i4>
      </vt:variant>
      <vt:variant>
        <vt:i4>0</vt:i4>
      </vt:variant>
      <vt:variant>
        <vt:i4>5</vt:i4>
      </vt:variant>
      <vt:variant>
        <vt:lpwstr/>
      </vt:variant>
      <vt:variant>
        <vt:lpwstr>_Toc135084136</vt:lpwstr>
      </vt:variant>
      <vt:variant>
        <vt:i4>1245245</vt:i4>
      </vt:variant>
      <vt:variant>
        <vt:i4>26</vt:i4>
      </vt:variant>
      <vt:variant>
        <vt:i4>0</vt:i4>
      </vt:variant>
      <vt:variant>
        <vt:i4>5</vt:i4>
      </vt:variant>
      <vt:variant>
        <vt:lpwstr/>
      </vt:variant>
      <vt:variant>
        <vt:lpwstr>_Toc135084135</vt:lpwstr>
      </vt:variant>
      <vt:variant>
        <vt:i4>1245245</vt:i4>
      </vt:variant>
      <vt:variant>
        <vt:i4>23</vt:i4>
      </vt:variant>
      <vt:variant>
        <vt:i4>0</vt:i4>
      </vt:variant>
      <vt:variant>
        <vt:i4>5</vt:i4>
      </vt:variant>
      <vt:variant>
        <vt:lpwstr/>
      </vt:variant>
      <vt:variant>
        <vt:lpwstr>_Toc135084134</vt:lpwstr>
      </vt:variant>
      <vt:variant>
        <vt:i4>1245245</vt:i4>
      </vt:variant>
      <vt:variant>
        <vt:i4>20</vt:i4>
      </vt:variant>
      <vt:variant>
        <vt:i4>0</vt:i4>
      </vt:variant>
      <vt:variant>
        <vt:i4>5</vt:i4>
      </vt:variant>
      <vt:variant>
        <vt:lpwstr/>
      </vt:variant>
      <vt:variant>
        <vt:lpwstr>_Toc135084133</vt:lpwstr>
      </vt:variant>
      <vt:variant>
        <vt:i4>1245245</vt:i4>
      </vt:variant>
      <vt:variant>
        <vt:i4>17</vt:i4>
      </vt:variant>
      <vt:variant>
        <vt:i4>0</vt:i4>
      </vt:variant>
      <vt:variant>
        <vt:i4>5</vt:i4>
      </vt:variant>
      <vt:variant>
        <vt:lpwstr/>
      </vt:variant>
      <vt:variant>
        <vt:lpwstr>_Toc135084132</vt:lpwstr>
      </vt:variant>
      <vt:variant>
        <vt:i4>1245245</vt:i4>
      </vt:variant>
      <vt:variant>
        <vt:i4>14</vt:i4>
      </vt:variant>
      <vt:variant>
        <vt:i4>0</vt:i4>
      </vt:variant>
      <vt:variant>
        <vt:i4>5</vt:i4>
      </vt:variant>
      <vt:variant>
        <vt:lpwstr/>
      </vt:variant>
      <vt:variant>
        <vt:lpwstr>_Toc135084131</vt:lpwstr>
      </vt:variant>
      <vt:variant>
        <vt:i4>1245245</vt:i4>
      </vt:variant>
      <vt:variant>
        <vt:i4>11</vt:i4>
      </vt:variant>
      <vt:variant>
        <vt:i4>0</vt:i4>
      </vt:variant>
      <vt:variant>
        <vt:i4>5</vt:i4>
      </vt:variant>
      <vt:variant>
        <vt:lpwstr/>
      </vt:variant>
      <vt:variant>
        <vt:lpwstr>_Toc135084130</vt:lpwstr>
      </vt:variant>
      <vt:variant>
        <vt:i4>1179709</vt:i4>
      </vt:variant>
      <vt:variant>
        <vt:i4>8</vt:i4>
      </vt:variant>
      <vt:variant>
        <vt:i4>0</vt:i4>
      </vt:variant>
      <vt:variant>
        <vt:i4>5</vt:i4>
      </vt:variant>
      <vt:variant>
        <vt:lpwstr/>
      </vt:variant>
      <vt:variant>
        <vt:lpwstr>_Toc135084129</vt:lpwstr>
      </vt:variant>
      <vt:variant>
        <vt:i4>1179709</vt:i4>
      </vt:variant>
      <vt:variant>
        <vt:i4>5</vt:i4>
      </vt:variant>
      <vt:variant>
        <vt:i4>0</vt:i4>
      </vt:variant>
      <vt:variant>
        <vt:i4>5</vt:i4>
      </vt:variant>
      <vt:variant>
        <vt:lpwstr/>
      </vt:variant>
      <vt:variant>
        <vt:lpwstr>_Toc135084128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2023-08-11T12:57:00Z</dcterms:created>
  <dcterms:modified xsi:type="dcterms:W3CDTF">2023-08-11T14:01:00Z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b59ce2bf-c989-4c91-9693-66c04333040f</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